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D2" w:rsidRPr="00056171" w:rsidRDefault="003F3FF3">
      <w:pPr>
        <w:rPr>
          <w:rFonts w:ascii="Arial" w:hAnsi="Arial" w:cs="Arial"/>
          <w:b/>
          <w:sz w:val="28"/>
          <w:szCs w:val="28"/>
        </w:rPr>
      </w:pPr>
      <w:r w:rsidRPr="00056171">
        <w:rPr>
          <w:rFonts w:ascii="Arial" w:hAnsi="Arial" w:cs="Arial"/>
          <w:b/>
          <w:sz w:val="28"/>
          <w:szCs w:val="28"/>
        </w:rPr>
        <w:t>Discharge Limits and MAHL Allocation Procedures of Muskegon County</w:t>
      </w:r>
    </w:p>
    <w:p w:rsidR="00FE7806" w:rsidRPr="00056171" w:rsidRDefault="00FE7806">
      <w:pPr>
        <w:rPr>
          <w:rFonts w:ascii="Arial" w:hAnsi="Arial" w:cs="Arial"/>
        </w:rPr>
      </w:pPr>
    </w:p>
    <w:p w:rsidR="00EE513E" w:rsidRPr="00056171" w:rsidRDefault="00EE513E">
      <w:pPr>
        <w:rPr>
          <w:rFonts w:ascii="Arial" w:hAnsi="Arial" w:cs="Arial"/>
        </w:rPr>
      </w:pPr>
    </w:p>
    <w:p w:rsidR="00502782" w:rsidRPr="00056171" w:rsidRDefault="00502782" w:rsidP="00502782">
      <w:pPr>
        <w:rPr>
          <w:rFonts w:ascii="Arial" w:hAnsi="Arial" w:cs="Arial"/>
          <w:sz w:val="28"/>
          <w:szCs w:val="28"/>
        </w:rPr>
      </w:pPr>
      <w:r w:rsidRPr="00056171">
        <w:rPr>
          <w:sz w:val="32"/>
          <w:szCs w:val="32"/>
        </w:rPr>
        <w:t>I</w:t>
      </w:r>
      <w:r w:rsidRPr="00056171">
        <w:rPr>
          <w:rFonts w:ascii="Arial" w:hAnsi="Arial" w:cs="Arial"/>
        </w:rPr>
        <w:t xml:space="preserve">.  </w:t>
      </w:r>
      <w:r w:rsidRPr="00056171">
        <w:rPr>
          <w:rFonts w:ascii="Arial" w:hAnsi="Arial" w:cs="Arial"/>
          <w:sz w:val="28"/>
          <w:szCs w:val="28"/>
        </w:rPr>
        <w:t>Introduction</w:t>
      </w:r>
    </w:p>
    <w:p w:rsidR="00502782" w:rsidRPr="00056171" w:rsidRDefault="00502782" w:rsidP="00502782">
      <w:pPr>
        <w:rPr>
          <w:rFonts w:ascii="Arial" w:hAnsi="Arial" w:cs="Arial"/>
        </w:rPr>
      </w:pPr>
    </w:p>
    <w:p w:rsidR="00CD1149" w:rsidRPr="00056171" w:rsidRDefault="00C758D3" w:rsidP="00502782">
      <w:pPr>
        <w:rPr>
          <w:rFonts w:ascii="Arial" w:hAnsi="Arial" w:cs="Arial"/>
        </w:rPr>
      </w:pPr>
      <w:r w:rsidRPr="00056171">
        <w:rPr>
          <w:rFonts w:ascii="Arial" w:hAnsi="Arial" w:cs="Arial"/>
        </w:rPr>
        <w:t>This document is referred to</w:t>
      </w:r>
      <w:r w:rsidR="00A60C48" w:rsidRPr="00056171">
        <w:rPr>
          <w:rFonts w:ascii="Arial" w:hAnsi="Arial" w:cs="Arial"/>
        </w:rPr>
        <w:t xml:space="preserve"> by name</w:t>
      </w:r>
      <w:r w:rsidRPr="00056171">
        <w:rPr>
          <w:rFonts w:ascii="Arial" w:hAnsi="Arial" w:cs="Arial"/>
        </w:rPr>
        <w:t xml:space="preserve"> in the </w:t>
      </w:r>
      <w:r w:rsidR="00502782" w:rsidRPr="00056171">
        <w:rPr>
          <w:rFonts w:ascii="Arial" w:hAnsi="Arial" w:cs="Arial"/>
        </w:rPr>
        <w:t>Muskegon County Sewer Use Ordinance</w:t>
      </w:r>
      <w:r w:rsidRPr="00056171">
        <w:rPr>
          <w:rFonts w:ascii="Arial" w:hAnsi="Arial" w:cs="Arial"/>
        </w:rPr>
        <w:t xml:space="preserve">, Revision IV, Section 2.4, B.  </w:t>
      </w:r>
      <w:r w:rsidR="00E9615C" w:rsidRPr="00056171">
        <w:rPr>
          <w:rFonts w:ascii="Arial" w:hAnsi="Arial" w:cs="Arial"/>
        </w:rPr>
        <w:t xml:space="preserve">Every wastewater treatment plant has its own unique capacity to treat various pollutants.  This document relates particularly to the unique capacity of the </w:t>
      </w:r>
      <w:r w:rsidR="00D65839" w:rsidRPr="00056171">
        <w:rPr>
          <w:rFonts w:ascii="Arial" w:hAnsi="Arial" w:cs="Arial"/>
        </w:rPr>
        <w:t>Muskegon County Wastewater Management System (MCWMS) to</w:t>
      </w:r>
      <w:r w:rsidR="00A60C48" w:rsidRPr="00056171">
        <w:rPr>
          <w:rFonts w:ascii="Arial" w:hAnsi="Arial" w:cs="Arial"/>
        </w:rPr>
        <w:t xml:space="preserve"> treat </w:t>
      </w:r>
      <w:r w:rsidR="007D5A82" w:rsidRPr="00056171">
        <w:rPr>
          <w:rFonts w:ascii="Arial" w:hAnsi="Arial" w:cs="Arial"/>
        </w:rPr>
        <w:t>various pollutants</w:t>
      </w:r>
      <w:r w:rsidR="00E9615C" w:rsidRPr="00056171">
        <w:rPr>
          <w:rFonts w:ascii="Arial" w:hAnsi="Arial" w:cs="Arial"/>
        </w:rPr>
        <w:t xml:space="preserve">.  </w:t>
      </w:r>
      <w:r w:rsidR="00CD1149" w:rsidRPr="00056171">
        <w:rPr>
          <w:rFonts w:ascii="Arial" w:hAnsi="Arial" w:cs="Arial"/>
        </w:rPr>
        <w:t xml:space="preserve">The purpose of this document is </w:t>
      </w:r>
      <w:r w:rsidR="00DE1FD0" w:rsidRPr="00056171">
        <w:rPr>
          <w:rFonts w:ascii="Arial" w:hAnsi="Arial" w:cs="Arial"/>
        </w:rPr>
        <w:t>four</w:t>
      </w:r>
      <w:r w:rsidR="00CD1149" w:rsidRPr="00056171">
        <w:rPr>
          <w:rFonts w:ascii="Arial" w:hAnsi="Arial" w:cs="Arial"/>
        </w:rPr>
        <w:t>fold:</w:t>
      </w:r>
    </w:p>
    <w:p w:rsidR="00CD1149" w:rsidRPr="00056171" w:rsidRDefault="00CD1149" w:rsidP="00502782">
      <w:pPr>
        <w:rPr>
          <w:rFonts w:ascii="Arial" w:hAnsi="Arial" w:cs="Arial"/>
        </w:rPr>
      </w:pPr>
    </w:p>
    <w:p w:rsidR="00CD1149" w:rsidRPr="00056171" w:rsidRDefault="00CD1149" w:rsidP="00502782">
      <w:pPr>
        <w:rPr>
          <w:rFonts w:ascii="Arial" w:hAnsi="Arial" w:cs="Arial"/>
        </w:rPr>
      </w:pPr>
      <w:r w:rsidRPr="00056171">
        <w:rPr>
          <w:rFonts w:ascii="Arial" w:hAnsi="Arial" w:cs="Arial"/>
        </w:rPr>
        <w:t>1)  To discuss briefly how the capacity to treat each pollutant was determined.</w:t>
      </w:r>
    </w:p>
    <w:p w:rsidR="00502782" w:rsidRPr="00056171" w:rsidRDefault="00CD1149" w:rsidP="00502782">
      <w:pPr>
        <w:rPr>
          <w:rFonts w:ascii="Arial" w:hAnsi="Arial" w:cs="Arial"/>
        </w:rPr>
      </w:pPr>
      <w:r w:rsidRPr="00056171">
        <w:rPr>
          <w:rFonts w:ascii="Arial" w:hAnsi="Arial" w:cs="Arial"/>
        </w:rPr>
        <w:t>2)  To discuss how this treatment capacity was</w:t>
      </w:r>
      <w:r w:rsidR="007D5A82" w:rsidRPr="00056171">
        <w:rPr>
          <w:rFonts w:ascii="Arial" w:hAnsi="Arial" w:cs="Arial"/>
        </w:rPr>
        <w:t xml:space="preserve"> allocated to domestic users, industrial users, and hauled waste</w:t>
      </w:r>
      <w:r w:rsidR="00D65839" w:rsidRPr="00056171">
        <w:rPr>
          <w:rFonts w:ascii="Arial" w:hAnsi="Arial" w:cs="Arial"/>
        </w:rPr>
        <w:t xml:space="preserve"> users</w:t>
      </w:r>
      <w:r w:rsidRPr="00056171">
        <w:rPr>
          <w:rFonts w:ascii="Arial" w:hAnsi="Arial" w:cs="Arial"/>
        </w:rPr>
        <w:t>.</w:t>
      </w:r>
    </w:p>
    <w:p w:rsidR="00CD1149" w:rsidRPr="00056171" w:rsidRDefault="00CD1149" w:rsidP="00502782">
      <w:pPr>
        <w:rPr>
          <w:rFonts w:ascii="Arial" w:hAnsi="Arial" w:cs="Arial"/>
        </w:rPr>
      </w:pPr>
      <w:r w:rsidRPr="00056171">
        <w:rPr>
          <w:rFonts w:ascii="Arial" w:hAnsi="Arial" w:cs="Arial"/>
        </w:rPr>
        <w:t>3)  To publish the limits placed on industrial users</w:t>
      </w:r>
      <w:r w:rsidR="00DE1FD0" w:rsidRPr="00056171">
        <w:rPr>
          <w:rFonts w:ascii="Arial" w:hAnsi="Arial" w:cs="Arial"/>
        </w:rPr>
        <w:t xml:space="preserve"> and hauled waste users</w:t>
      </w:r>
      <w:r w:rsidRPr="00056171">
        <w:rPr>
          <w:rFonts w:ascii="Arial" w:hAnsi="Arial" w:cs="Arial"/>
        </w:rPr>
        <w:t xml:space="preserve"> for various pollutants</w:t>
      </w:r>
      <w:r w:rsidR="00DE1FD0" w:rsidRPr="00056171">
        <w:rPr>
          <w:rFonts w:ascii="Arial" w:hAnsi="Arial" w:cs="Arial"/>
        </w:rPr>
        <w:t xml:space="preserve"> in or characteristics of their wastewaters.  </w:t>
      </w:r>
    </w:p>
    <w:p w:rsidR="00DE1FD0" w:rsidRPr="00056171" w:rsidRDefault="00DE1FD0" w:rsidP="00502782">
      <w:pPr>
        <w:rPr>
          <w:rFonts w:ascii="Arial" w:hAnsi="Arial" w:cs="Arial"/>
        </w:rPr>
      </w:pPr>
      <w:r w:rsidRPr="00056171">
        <w:rPr>
          <w:rFonts w:ascii="Arial" w:hAnsi="Arial" w:cs="Arial"/>
        </w:rPr>
        <w:t xml:space="preserve">4)  To </w:t>
      </w:r>
      <w:r w:rsidR="000D5093" w:rsidRPr="00056171">
        <w:rPr>
          <w:rFonts w:ascii="Arial" w:hAnsi="Arial" w:cs="Arial"/>
        </w:rPr>
        <w:t xml:space="preserve">describe </w:t>
      </w:r>
      <w:r w:rsidRPr="00056171">
        <w:rPr>
          <w:rFonts w:ascii="Arial" w:hAnsi="Arial" w:cs="Arial"/>
        </w:rPr>
        <w:t xml:space="preserve">the efforts of MCWMS to monitor the loadings of pollutants </w:t>
      </w:r>
      <w:r w:rsidR="000D5093" w:rsidRPr="00056171">
        <w:rPr>
          <w:rFonts w:ascii="Arial" w:hAnsi="Arial" w:cs="Arial"/>
        </w:rPr>
        <w:t xml:space="preserve">entering the sewage collection system and wastewater treatment plant </w:t>
      </w:r>
      <w:r w:rsidRPr="00056171">
        <w:rPr>
          <w:rFonts w:ascii="Arial" w:hAnsi="Arial" w:cs="Arial"/>
        </w:rPr>
        <w:t xml:space="preserve">to help ensure that </w:t>
      </w:r>
      <w:r w:rsidR="000D5093" w:rsidRPr="00056171">
        <w:rPr>
          <w:rFonts w:ascii="Arial" w:hAnsi="Arial" w:cs="Arial"/>
        </w:rPr>
        <w:t xml:space="preserve">the plant is not receiving more of a pollutant than can be </w:t>
      </w:r>
      <w:r w:rsidR="00E30E7A" w:rsidRPr="00056171">
        <w:rPr>
          <w:rFonts w:ascii="Arial" w:hAnsi="Arial" w:cs="Arial"/>
        </w:rPr>
        <w:t>treated.</w:t>
      </w:r>
    </w:p>
    <w:p w:rsidR="00EE513E" w:rsidRPr="00056171" w:rsidRDefault="00EE513E" w:rsidP="00EE513E">
      <w:pPr>
        <w:rPr>
          <w:rFonts w:ascii="Arial" w:hAnsi="Arial" w:cs="Arial"/>
        </w:rPr>
      </w:pPr>
    </w:p>
    <w:p w:rsidR="00EE513E" w:rsidRPr="00056171" w:rsidRDefault="00EE513E" w:rsidP="00EE513E">
      <w:pPr>
        <w:rPr>
          <w:rFonts w:ascii="Arial" w:hAnsi="Arial" w:cs="Arial"/>
        </w:rPr>
      </w:pPr>
    </w:p>
    <w:p w:rsidR="00EE513E" w:rsidRPr="00056171" w:rsidRDefault="00EE513E" w:rsidP="00EE513E">
      <w:pPr>
        <w:rPr>
          <w:rFonts w:ascii="Arial" w:hAnsi="Arial" w:cs="Arial"/>
        </w:rPr>
      </w:pPr>
      <w:r w:rsidRPr="00056171">
        <w:rPr>
          <w:sz w:val="32"/>
          <w:szCs w:val="32"/>
        </w:rPr>
        <w:t>II</w:t>
      </w:r>
      <w:r w:rsidRPr="00056171">
        <w:rPr>
          <w:rFonts w:ascii="Arial" w:hAnsi="Arial" w:cs="Arial"/>
        </w:rPr>
        <w:t xml:space="preserve">.  </w:t>
      </w:r>
      <w:r w:rsidRPr="00056171">
        <w:rPr>
          <w:rFonts w:ascii="Arial" w:hAnsi="Arial" w:cs="Arial"/>
          <w:sz w:val="28"/>
          <w:szCs w:val="28"/>
        </w:rPr>
        <w:t>How the capacity to treat each pollutant was determined</w:t>
      </w:r>
    </w:p>
    <w:p w:rsidR="00EE513E" w:rsidRPr="00056171" w:rsidRDefault="00EE513E" w:rsidP="00EE513E">
      <w:pPr>
        <w:rPr>
          <w:rFonts w:ascii="Arial" w:hAnsi="Arial" w:cs="Arial"/>
        </w:rPr>
      </w:pPr>
    </w:p>
    <w:p w:rsidR="0023485B" w:rsidRPr="00056171" w:rsidRDefault="00BA5BF7" w:rsidP="00EE513E">
      <w:pPr>
        <w:rPr>
          <w:rFonts w:ascii="Arial" w:hAnsi="Arial" w:cs="Arial"/>
        </w:rPr>
      </w:pPr>
      <w:r w:rsidRPr="00056171">
        <w:rPr>
          <w:rFonts w:ascii="Arial" w:hAnsi="Arial" w:cs="Arial"/>
        </w:rPr>
        <w:t>“</w:t>
      </w:r>
      <w:r w:rsidR="00EE513E" w:rsidRPr="00056171">
        <w:rPr>
          <w:rFonts w:ascii="Arial" w:hAnsi="Arial" w:cs="Arial"/>
        </w:rPr>
        <w:t>MAHL</w:t>
      </w:r>
      <w:r w:rsidRPr="00056171">
        <w:rPr>
          <w:rFonts w:ascii="Arial" w:hAnsi="Arial" w:cs="Arial"/>
        </w:rPr>
        <w:t xml:space="preserve">” is an abbreviation of Maximum Allowable Headworks Loading.  “Headworks” means the point at which the raw wastewater enters the wastewater treatment plant.  </w:t>
      </w:r>
      <w:r w:rsidR="001366C1" w:rsidRPr="00056171">
        <w:rPr>
          <w:rFonts w:ascii="Arial" w:hAnsi="Arial" w:cs="Arial"/>
        </w:rPr>
        <w:t>(</w:t>
      </w:r>
      <w:r w:rsidRPr="00056171">
        <w:rPr>
          <w:rFonts w:ascii="Arial" w:hAnsi="Arial" w:cs="Arial"/>
        </w:rPr>
        <w:t>Another word for headworks is influent.</w:t>
      </w:r>
      <w:r w:rsidR="001366C1" w:rsidRPr="00056171">
        <w:rPr>
          <w:rFonts w:ascii="Arial" w:hAnsi="Arial" w:cs="Arial"/>
        </w:rPr>
        <w:t>)</w:t>
      </w:r>
      <w:r w:rsidRPr="00056171">
        <w:rPr>
          <w:rFonts w:ascii="Arial" w:hAnsi="Arial" w:cs="Arial"/>
        </w:rPr>
        <w:t xml:space="preserve">  “Loading” is the amount of a pollutant entering into the treatment plant through the incoming wastewater.  A pollutant loading is usually given in pounds per day.</w:t>
      </w:r>
      <w:r w:rsidR="001366C1" w:rsidRPr="00056171">
        <w:rPr>
          <w:rFonts w:ascii="Arial" w:hAnsi="Arial" w:cs="Arial"/>
        </w:rPr>
        <w:t xml:space="preserve">  Therefore, the Maximum Allowable Headworks Loading for a pollutant is the maximum pounds of the pollutant that a wastewater treatment plant can receive and treat.  MAHL is therefore synonymous with “treatment capacity”.</w:t>
      </w:r>
      <w:r w:rsidR="003163E8" w:rsidRPr="00056171">
        <w:rPr>
          <w:rFonts w:ascii="Arial" w:hAnsi="Arial" w:cs="Arial"/>
        </w:rPr>
        <w:t xml:space="preserve"> </w:t>
      </w:r>
      <w:r w:rsidR="008C174D" w:rsidRPr="00056171">
        <w:rPr>
          <w:rFonts w:ascii="Arial" w:hAnsi="Arial" w:cs="Arial"/>
        </w:rPr>
        <w:t xml:space="preserve"> If a treatment plant receives more pounds of a pollutant than it can treat, </w:t>
      </w:r>
      <w:r w:rsidR="00C338B2" w:rsidRPr="00056171">
        <w:rPr>
          <w:rFonts w:ascii="Arial" w:hAnsi="Arial" w:cs="Arial"/>
        </w:rPr>
        <w:t xml:space="preserve">it could endanger the lives or health of the workers who maintain the </w:t>
      </w:r>
      <w:r w:rsidR="0092707E" w:rsidRPr="00056171">
        <w:rPr>
          <w:rFonts w:ascii="Arial" w:hAnsi="Arial" w:cs="Arial"/>
        </w:rPr>
        <w:t xml:space="preserve">sewage </w:t>
      </w:r>
      <w:r w:rsidR="00C338B2" w:rsidRPr="00056171">
        <w:rPr>
          <w:rFonts w:ascii="Arial" w:hAnsi="Arial" w:cs="Arial"/>
        </w:rPr>
        <w:t xml:space="preserve">collection system, </w:t>
      </w:r>
      <w:r w:rsidR="008C174D" w:rsidRPr="00056171">
        <w:rPr>
          <w:rFonts w:ascii="Arial" w:hAnsi="Arial" w:cs="Arial"/>
        </w:rPr>
        <w:t xml:space="preserve">result </w:t>
      </w:r>
      <w:r w:rsidR="00C338B2" w:rsidRPr="00056171">
        <w:rPr>
          <w:rFonts w:ascii="Arial" w:hAnsi="Arial" w:cs="Arial"/>
        </w:rPr>
        <w:t xml:space="preserve">in the discharge of pollutants </w:t>
      </w:r>
      <w:r w:rsidR="00F8232B" w:rsidRPr="00056171">
        <w:rPr>
          <w:rFonts w:ascii="Arial" w:hAnsi="Arial" w:cs="Arial"/>
        </w:rPr>
        <w:t xml:space="preserve">that would be damaging </w:t>
      </w:r>
      <w:r w:rsidR="00C338B2" w:rsidRPr="00056171">
        <w:rPr>
          <w:rFonts w:ascii="Arial" w:hAnsi="Arial" w:cs="Arial"/>
        </w:rPr>
        <w:t>to the environment,</w:t>
      </w:r>
      <w:r w:rsidR="00782F30" w:rsidRPr="00056171">
        <w:rPr>
          <w:rFonts w:ascii="Arial" w:hAnsi="Arial" w:cs="Arial"/>
        </w:rPr>
        <w:t xml:space="preserve"> or </w:t>
      </w:r>
      <w:r w:rsidR="00A24D70" w:rsidRPr="00056171">
        <w:rPr>
          <w:rFonts w:ascii="Arial" w:hAnsi="Arial" w:cs="Arial"/>
        </w:rPr>
        <w:t>temporarily inhibit the plant’s ability to treat</w:t>
      </w:r>
      <w:r w:rsidR="00782F30" w:rsidRPr="00056171">
        <w:rPr>
          <w:rFonts w:ascii="Arial" w:hAnsi="Arial" w:cs="Arial"/>
        </w:rPr>
        <w:t xml:space="preserve"> </w:t>
      </w:r>
      <w:r w:rsidR="00A24D70" w:rsidRPr="00056171">
        <w:rPr>
          <w:rFonts w:ascii="Arial" w:hAnsi="Arial" w:cs="Arial"/>
        </w:rPr>
        <w:t>wastewater.</w:t>
      </w:r>
    </w:p>
    <w:p w:rsidR="00782F30" w:rsidRPr="00056171" w:rsidRDefault="00782F30" w:rsidP="00EE513E">
      <w:pPr>
        <w:rPr>
          <w:rFonts w:ascii="Arial" w:hAnsi="Arial" w:cs="Arial"/>
        </w:rPr>
      </w:pPr>
    </w:p>
    <w:p w:rsidR="0023485B" w:rsidRPr="00056171" w:rsidRDefault="0023485B" w:rsidP="00EE513E">
      <w:pPr>
        <w:rPr>
          <w:rFonts w:ascii="Arial" w:hAnsi="Arial" w:cs="Arial"/>
        </w:rPr>
      </w:pPr>
      <w:r w:rsidRPr="00056171">
        <w:rPr>
          <w:rFonts w:ascii="Arial" w:hAnsi="Arial" w:cs="Arial"/>
        </w:rPr>
        <w:t xml:space="preserve">In 2009, MCWMS performed a six-month study to determine the MAHLs for a number of pollutants.  </w:t>
      </w:r>
      <w:r w:rsidR="00F8232B" w:rsidRPr="00056171">
        <w:rPr>
          <w:rFonts w:ascii="Arial" w:hAnsi="Arial" w:cs="Arial"/>
        </w:rPr>
        <w:t xml:space="preserve">In the study, MCWMS staff </w:t>
      </w:r>
      <w:r w:rsidR="00FA64C5" w:rsidRPr="00056171">
        <w:rPr>
          <w:rFonts w:ascii="Arial" w:hAnsi="Arial" w:cs="Arial"/>
        </w:rPr>
        <w:t xml:space="preserve">looked at the levels of pollutants coming into the plant compared to levels going out of the plant in order to determine the percentage removed for each pollutant.  It also determined the concentration levels at which a pollutant could impact the safety of collection system workers and the concentration levels that could disrupt treatment at the plant.  All this information went into establishing MAHLs.  </w:t>
      </w:r>
      <w:r w:rsidR="00E9381C" w:rsidRPr="00056171">
        <w:rPr>
          <w:rFonts w:ascii="Arial" w:hAnsi="Arial" w:cs="Arial"/>
        </w:rPr>
        <w:t xml:space="preserve"> </w:t>
      </w:r>
    </w:p>
    <w:p w:rsidR="00E9381C" w:rsidRPr="00056171" w:rsidRDefault="00E9381C" w:rsidP="00EE513E">
      <w:pPr>
        <w:rPr>
          <w:rFonts w:ascii="Arial" w:hAnsi="Arial" w:cs="Arial"/>
        </w:rPr>
      </w:pPr>
    </w:p>
    <w:p w:rsidR="00EE513E" w:rsidRPr="00056171" w:rsidRDefault="00EE513E" w:rsidP="00EE513E">
      <w:pPr>
        <w:rPr>
          <w:rFonts w:ascii="Arial" w:hAnsi="Arial" w:cs="Arial"/>
        </w:rPr>
      </w:pPr>
    </w:p>
    <w:p w:rsidR="004F63FB" w:rsidRPr="00056171" w:rsidRDefault="00502782">
      <w:pPr>
        <w:rPr>
          <w:rFonts w:ascii="Arial" w:hAnsi="Arial" w:cs="Arial"/>
        </w:rPr>
      </w:pPr>
      <w:r w:rsidRPr="00056171">
        <w:rPr>
          <w:sz w:val="32"/>
          <w:szCs w:val="32"/>
        </w:rPr>
        <w:t>I</w:t>
      </w:r>
      <w:r w:rsidR="000957B4" w:rsidRPr="00056171">
        <w:rPr>
          <w:sz w:val="32"/>
          <w:szCs w:val="32"/>
        </w:rPr>
        <w:t>I</w:t>
      </w:r>
      <w:r w:rsidR="004F63FB" w:rsidRPr="00056171">
        <w:rPr>
          <w:sz w:val="32"/>
          <w:szCs w:val="32"/>
        </w:rPr>
        <w:t>I</w:t>
      </w:r>
      <w:r w:rsidR="004F63FB" w:rsidRPr="00056171">
        <w:rPr>
          <w:rFonts w:ascii="Arial" w:hAnsi="Arial" w:cs="Arial"/>
        </w:rPr>
        <w:t xml:space="preserve">.  </w:t>
      </w:r>
      <w:r w:rsidR="004F63FB" w:rsidRPr="00056171">
        <w:rPr>
          <w:rFonts w:ascii="Arial" w:hAnsi="Arial" w:cs="Arial"/>
          <w:sz w:val="28"/>
          <w:szCs w:val="28"/>
        </w:rPr>
        <w:t>MAHL Allocation</w:t>
      </w:r>
    </w:p>
    <w:p w:rsidR="004F63FB" w:rsidRPr="00056171" w:rsidRDefault="004F63FB">
      <w:pPr>
        <w:rPr>
          <w:rFonts w:ascii="Arial" w:hAnsi="Arial" w:cs="Arial"/>
        </w:rPr>
      </w:pPr>
    </w:p>
    <w:p w:rsidR="00D332C4" w:rsidRPr="00056171" w:rsidRDefault="00FE7806">
      <w:pPr>
        <w:rPr>
          <w:rFonts w:ascii="Arial" w:hAnsi="Arial" w:cs="Arial"/>
        </w:rPr>
      </w:pPr>
      <w:r w:rsidRPr="00056171">
        <w:rPr>
          <w:rFonts w:ascii="Arial" w:hAnsi="Arial" w:cs="Arial"/>
        </w:rPr>
        <w:t>The MAHL</w:t>
      </w:r>
      <w:r w:rsidR="00660450" w:rsidRPr="00056171">
        <w:rPr>
          <w:rFonts w:ascii="Arial" w:hAnsi="Arial" w:cs="Arial"/>
        </w:rPr>
        <w:t xml:space="preserve"> (or plant treatment capacity)</w:t>
      </w:r>
      <w:r w:rsidRPr="00056171">
        <w:rPr>
          <w:rFonts w:ascii="Arial" w:hAnsi="Arial" w:cs="Arial"/>
        </w:rPr>
        <w:t xml:space="preserve"> for each </w:t>
      </w:r>
      <w:r w:rsidR="007B17D6" w:rsidRPr="00056171">
        <w:rPr>
          <w:rFonts w:ascii="Arial" w:hAnsi="Arial" w:cs="Arial"/>
        </w:rPr>
        <w:t>pollutant</w:t>
      </w:r>
      <w:r w:rsidR="00660450" w:rsidRPr="00056171">
        <w:rPr>
          <w:rFonts w:ascii="Arial" w:hAnsi="Arial" w:cs="Arial"/>
        </w:rPr>
        <w:t xml:space="preserve">, </w:t>
      </w:r>
      <w:r w:rsidRPr="00056171">
        <w:rPr>
          <w:rFonts w:ascii="Arial" w:hAnsi="Arial" w:cs="Arial"/>
        </w:rPr>
        <w:t>after a 10% safety f</w:t>
      </w:r>
      <w:r w:rsidR="00660450" w:rsidRPr="00056171">
        <w:rPr>
          <w:rFonts w:ascii="Arial" w:hAnsi="Arial" w:cs="Arial"/>
        </w:rPr>
        <w:t>actor has been deducted from it,</w:t>
      </w:r>
      <w:r w:rsidRPr="00056171">
        <w:rPr>
          <w:rFonts w:ascii="Arial" w:hAnsi="Arial" w:cs="Arial"/>
        </w:rPr>
        <w:t xml:space="preserve"> </w:t>
      </w:r>
      <w:r w:rsidR="004868B2" w:rsidRPr="00056171">
        <w:rPr>
          <w:rFonts w:ascii="Arial" w:hAnsi="Arial" w:cs="Arial"/>
        </w:rPr>
        <w:t xml:space="preserve">is allocated to domestic sanitary waste, hauled waste, and industrial waste.  </w:t>
      </w:r>
    </w:p>
    <w:p w:rsidR="00D332C4" w:rsidRPr="00056171" w:rsidRDefault="00D332C4">
      <w:pPr>
        <w:rPr>
          <w:rFonts w:ascii="Arial" w:hAnsi="Arial" w:cs="Arial"/>
        </w:rPr>
      </w:pPr>
    </w:p>
    <w:p w:rsidR="00FE7806" w:rsidRPr="00056171" w:rsidRDefault="004868B2">
      <w:pPr>
        <w:rPr>
          <w:rFonts w:ascii="Arial" w:hAnsi="Arial" w:cs="Arial"/>
        </w:rPr>
      </w:pPr>
      <w:r w:rsidRPr="00056171">
        <w:rPr>
          <w:rFonts w:ascii="Arial" w:hAnsi="Arial" w:cs="Arial"/>
        </w:rPr>
        <w:lastRenderedPageBreak/>
        <w:t xml:space="preserve">The domestic sanitary allocation was determined from data </w:t>
      </w:r>
      <w:r w:rsidR="007B17D6" w:rsidRPr="00056171">
        <w:rPr>
          <w:rFonts w:ascii="Arial" w:hAnsi="Arial" w:cs="Arial"/>
        </w:rPr>
        <w:t xml:space="preserve">acquired during the MAHL study of 2009.  Average pollutant concentrations were </w:t>
      </w:r>
      <w:r w:rsidR="00D332C4" w:rsidRPr="00056171">
        <w:rPr>
          <w:rFonts w:ascii="Arial" w:hAnsi="Arial" w:cs="Arial"/>
        </w:rPr>
        <w:t>measured in</w:t>
      </w:r>
      <w:r w:rsidR="007B17D6" w:rsidRPr="00056171">
        <w:rPr>
          <w:rFonts w:ascii="Arial" w:hAnsi="Arial" w:cs="Arial"/>
        </w:rPr>
        <w:t xml:space="preserve"> samples </w:t>
      </w:r>
      <w:r w:rsidR="003E3FF3" w:rsidRPr="00056171">
        <w:rPr>
          <w:rFonts w:ascii="Arial" w:hAnsi="Arial" w:cs="Arial"/>
        </w:rPr>
        <w:t xml:space="preserve">of sanitary sewage </w:t>
      </w:r>
      <w:r w:rsidR="007B17D6" w:rsidRPr="00056171">
        <w:rPr>
          <w:rFonts w:ascii="Arial" w:hAnsi="Arial" w:cs="Arial"/>
        </w:rPr>
        <w:t xml:space="preserve">collected from </w:t>
      </w:r>
      <w:r w:rsidR="003E3FF3" w:rsidRPr="00056171">
        <w:rPr>
          <w:rFonts w:ascii="Arial" w:hAnsi="Arial" w:cs="Arial"/>
        </w:rPr>
        <w:t>various locations in the county</w:t>
      </w:r>
      <w:r w:rsidR="007B17D6" w:rsidRPr="00056171">
        <w:rPr>
          <w:rFonts w:ascii="Arial" w:hAnsi="Arial" w:cs="Arial"/>
        </w:rPr>
        <w:t xml:space="preserve">.  </w:t>
      </w:r>
      <w:r w:rsidR="001D149E" w:rsidRPr="00056171">
        <w:rPr>
          <w:rFonts w:ascii="Arial" w:hAnsi="Arial" w:cs="Arial"/>
        </w:rPr>
        <w:t xml:space="preserve">From the average pollutant concentrations and the average domestic sewage flow rate, the average pollutant loadings received from sanitary waste were calculated. </w:t>
      </w:r>
      <w:r w:rsidR="009113C0">
        <w:rPr>
          <w:rFonts w:ascii="Arial" w:hAnsi="Arial" w:cs="Arial"/>
        </w:rPr>
        <w:t xml:space="preserve"> </w:t>
      </w:r>
    </w:p>
    <w:p w:rsidR="00896B47" w:rsidRPr="00056171" w:rsidRDefault="00896B47" w:rsidP="00896B47">
      <w:pPr>
        <w:rPr>
          <w:rFonts w:ascii="Arial" w:hAnsi="Arial" w:cs="Arial"/>
          <w:sz w:val="26"/>
          <w:szCs w:val="26"/>
        </w:rPr>
      </w:pPr>
    </w:p>
    <w:p w:rsidR="00D46143" w:rsidRPr="00056171" w:rsidRDefault="00340B2E" w:rsidP="00896B47">
      <w:pPr>
        <w:rPr>
          <w:rFonts w:ascii="Arial" w:hAnsi="Arial" w:cs="Arial"/>
        </w:rPr>
      </w:pPr>
      <w:r w:rsidRPr="00056171">
        <w:rPr>
          <w:rFonts w:ascii="Arial" w:hAnsi="Arial" w:cs="Arial"/>
        </w:rPr>
        <w:t>Similarly</w:t>
      </w:r>
      <w:r w:rsidR="005E5F53" w:rsidRPr="00056171">
        <w:rPr>
          <w:rFonts w:ascii="Arial" w:hAnsi="Arial" w:cs="Arial"/>
        </w:rPr>
        <w:t>, average pollutant concentrations we</w:t>
      </w:r>
      <w:r w:rsidRPr="00056171">
        <w:rPr>
          <w:rFonts w:ascii="Arial" w:hAnsi="Arial" w:cs="Arial"/>
        </w:rPr>
        <w:t>r</w:t>
      </w:r>
      <w:r w:rsidR="005E5F53" w:rsidRPr="00056171">
        <w:rPr>
          <w:rFonts w:ascii="Arial" w:hAnsi="Arial" w:cs="Arial"/>
        </w:rPr>
        <w:t>e determined for</w:t>
      </w:r>
      <w:r w:rsidRPr="00056171">
        <w:rPr>
          <w:rFonts w:ascii="Arial" w:hAnsi="Arial" w:cs="Arial"/>
        </w:rPr>
        <w:t xml:space="preserve"> the hauled waste flow entering the wastewater treatment plant.  Using the average pollutant concentrations and a hauled </w:t>
      </w:r>
      <w:r w:rsidRPr="008571F5">
        <w:rPr>
          <w:rFonts w:ascii="Arial" w:hAnsi="Arial" w:cs="Arial"/>
        </w:rPr>
        <w:t>waste flow of 0.</w:t>
      </w:r>
      <w:r w:rsidR="00FD1B35" w:rsidRPr="008571F5">
        <w:rPr>
          <w:rFonts w:ascii="Arial" w:hAnsi="Arial" w:cs="Arial"/>
        </w:rPr>
        <w:t>15</w:t>
      </w:r>
      <w:r w:rsidRPr="008571F5">
        <w:rPr>
          <w:rFonts w:ascii="Arial" w:hAnsi="Arial" w:cs="Arial"/>
        </w:rPr>
        <w:t xml:space="preserve">0 million gallons per day (or </w:t>
      </w:r>
      <w:r w:rsidR="00FD1B35" w:rsidRPr="008571F5">
        <w:rPr>
          <w:rFonts w:ascii="Arial" w:hAnsi="Arial" w:cs="Arial"/>
        </w:rPr>
        <w:t>4.5</w:t>
      </w:r>
      <w:r w:rsidRPr="008571F5">
        <w:rPr>
          <w:rFonts w:ascii="Arial" w:hAnsi="Arial" w:cs="Arial"/>
        </w:rPr>
        <w:t xml:space="preserve"> million gallons per month)</w:t>
      </w:r>
      <w:r w:rsidRPr="00056171">
        <w:rPr>
          <w:rFonts w:ascii="Arial" w:hAnsi="Arial" w:cs="Arial"/>
        </w:rPr>
        <w:t>, loadings were calculated, and</w:t>
      </w:r>
      <w:r w:rsidR="001E4464" w:rsidRPr="00056171">
        <w:rPr>
          <w:rFonts w:ascii="Arial" w:hAnsi="Arial" w:cs="Arial"/>
        </w:rPr>
        <w:t xml:space="preserve"> a portion of the MAHL equal to these calculated l</w:t>
      </w:r>
      <w:r w:rsidR="006E1D49" w:rsidRPr="00056171">
        <w:rPr>
          <w:rFonts w:ascii="Arial" w:hAnsi="Arial" w:cs="Arial"/>
        </w:rPr>
        <w:t>oa</w:t>
      </w:r>
      <w:r w:rsidR="001E4464" w:rsidRPr="00056171">
        <w:rPr>
          <w:rFonts w:ascii="Arial" w:hAnsi="Arial" w:cs="Arial"/>
        </w:rPr>
        <w:t>dings</w:t>
      </w:r>
      <w:r w:rsidR="006E1D49" w:rsidRPr="00056171">
        <w:rPr>
          <w:rFonts w:ascii="Arial" w:hAnsi="Arial" w:cs="Arial"/>
        </w:rPr>
        <w:t xml:space="preserve"> became the treatment capacity allocated to hauled waste.  </w:t>
      </w:r>
      <w:r w:rsidR="00D45B92" w:rsidRPr="00056171">
        <w:rPr>
          <w:rFonts w:ascii="Arial" w:hAnsi="Arial" w:cs="Arial"/>
        </w:rPr>
        <w:t xml:space="preserve">In its daily operation, the WWTP can monitor how close it is to exceeding the treatment capacity reserved for hauled waste by simply comparing the actual hauled waste flow to </w:t>
      </w:r>
      <w:r w:rsidR="00FD1B35" w:rsidRPr="008571F5">
        <w:rPr>
          <w:rFonts w:ascii="Arial" w:hAnsi="Arial" w:cs="Arial"/>
        </w:rPr>
        <w:t>4.5</w:t>
      </w:r>
      <w:r w:rsidR="005551FD" w:rsidRPr="008571F5">
        <w:rPr>
          <w:rFonts w:ascii="Arial" w:hAnsi="Arial" w:cs="Arial"/>
        </w:rPr>
        <w:t xml:space="preserve"> million gallons per month</w:t>
      </w:r>
      <w:r w:rsidR="00D45B92" w:rsidRPr="008571F5">
        <w:rPr>
          <w:rFonts w:ascii="Arial" w:hAnsi="Arial" w:cs="Arial"/>
        </w:rPr>
        <w:t>.</w:t>
      </w:r>
      <w:r w:rsidR="00B90E9C" w:rsidRPr="008571F5">
        <w:rPr>
          <w:rFonts w:ascii="Arial" w:hAnsi="Arial" w:cs="Arial"/>
        </w:rPr>
        <w:t xml:space="preserve">  </w:t>
      </w:r>
      <w:r w:rsidR="00394936" w:rsidRPr="00056171">
        <w:rPr>
          <w:rFonts w:ascii="Arial" w:hAnsi="Arial" w:cs="Arial"/>
        </w:rPr>
        <w:t>This large flow was chosen to provide a safety factor in treating hauled waste.</w:t>
      </w:r>
      <w:r w:rsidR="001710E0" w:rsidRPr="00056171">
        <w:rPr>
          <w:rFonts w:ascii="Arial" w:hAnsi="Arial" w:cs="Arial"/>
        </w:rPr>
        <w:t>)</w:t>
      </w:r>
      <w:r w:rsidR="003F5E6C" w:rsidRPr="00056171">
        <w:rPr>
          <w:rFonts w:ascii="Arial" w:hAnsi="Arial" w:cs="Arial"/>
        </w:rPr>
        <w:t xml:space="preserve"> </w:t>
      </w:r>
    </w:p>
    <w:p w:rsidR="00FD28BA" w:rsidRPr="00056171" w:rsidRDefault="00FD28BA" w:rsidP="007316A6">
      <w:pPr>
        <w:rPr>
          <w:rFonts w:ascii="Arial" w:hAnsi="Arial" w:cs="Arial"/>
        </w:rPr>
      </w:pPr>
    </w:p>
    <w:p w:rsidR="00F4303B" w:rsidRPr="00056171" w:rsidRDefault="00FE6E2D" w:rsidP="007316A6">
      <w:pPr>
        <w:rPr>
          <w:rFonts w:ascii="Arial" w:hAnsi="Arial" w:cs="Arial"/>
        </w:rPr>
      </w:pPr>
      <w:r w:rsidRPr="00056171">
        <w:rPr>
          <w:rFonts w:ascii="Arial" w:hAnsi="Arial" w:cs="Arial"/>
        </w:rPr>
        <w:t>After deducting the domestic</w:t>
      </w:r>
      <w:r w:rsidR="006E1D49" w:rsidRPr="00056171">
        <w:rPr>
          <w:rFonts w:ascii="Arial" w:hAnsi="Arial" w:cs="Arial"/>
        </w:rPr>
        <w:t xml:space="preserve"> sanitary</w:t>
      </w:r>
      <w:r w:rsidRPr="00056171">
        <w:rPr>
          <w:rFonts w:ascii="Arial" w:hAnsi="Arial" w:cs="Arial"/>
        </w:rPr>
        <w:t xml:space="preserve"> </w:t>
      </w:r>
      <w:r w:rsidR="00F8664B" w:rsidRPr="00056171">
        <w:rPr>
          <w:rFonts w:ascii="Arial" w:hAnsi="Arial" w:cs="Arial"/>
        </w:rPr>
        <w:t xml:space="preserve">and </w:t>
      </w:r>
      <w:r w:rsidRPr="00056171">
        <w:rPr>
          <w:rFonts w:ascii="Arial" w:hAnsi="Arial" w:cs="Arial"/>
        </w:rPr>
        <w:t>hauled waste allocation</w:t>
      </w:r>
      <w:r w:rsidR="00F8664B" w:rsidRPr="00056171">
        <w:rPr>
          <w:rFonts w:ascii="Arial" w:hAnsi="Arial" w:cs="Arial"/>
        </w:rPr>
        <w:t>s</w:t>
      </w:r>
      <w:r w:rsidRPr="00056171">
        <w:rPr>
          <w:rFonts w:ascii="Arial" w:hAnsi="Arial" w:cs="Arial"/>
        </w:rPr>
        <w:t xml:space="preserve"> from the MAHL, the remain</w:t>
      </w:r>
      <w:r w:rsidR="00F8664B" w:rsidRPr="00056171">
        <w:rPr>
          <w:rFonts w:ascii="Arial" w:hAnsi="Arial" w:cs="Arial"/>
        </w:rPr>
        <w:t xml:space="preserve">ing treatment capacity is allotted to the industries that discharge to MCWMS.  This allocation for </w:t>
      </w:r>
      <w:r w:rsidRPr="00056171">
        <w:rPr>
          <w:rFonts w:ascii="Arial" w:hAnsi="Arial" w:cs="Arial"/>
        </w:rPr>
        <w:t xml:space="preserve">industrial waste </w:t>
      </w:r>
      <w:r w:rsidR="00F8664B" w:rsidRPr="00056171">
        <w:rPr>
          <w:rFonts w:ascii="Arial" w:hAnsi="Arial" w:cs="Arial"/>
        </w:rPr>
        <w:t xml:space="preserve">is sometimes referred to as the </w:t>
      </w:r>
      <w:r w:rsidRPr="00056171">
        <w:rPr>
          <w:rFonts w:ascii="Arial" w:hAnsi="Arial" w:cs="Arial"/>
        </w:rPr>
        <w:t>MAIL</w:t>
      </w:r>
      <w:r w:rsidR="00F8664B" w:rsidRPr="00056171">
        <w:rPr>
          <w:rFonts w:ascii="Arial" w:hAnsi="Arial" w:cs="Arial"/>
        </w:rPr>
        <w:t>, which stands for Maximum Allowable Industrial Loading.  A</w:t>
      </w:r>
      <w:r w:rsidRPr="00056171">
        <w:rPr>
          <w:rFonts w:ascii="Arial" w:hAnsi="Arial" w:cs="Arial"/>
        </w:rPr>
        <w:t xml:space="preserve"> portion </w:t>
      </w:r>
      <w:r w:rsidR="00F8664B" w:rsidRPr="00056171">
        <w:rPr>
          <w:rFonts w:ascii="Arial" w:hAnsi="Arial" w:cs="Arial"/>
        </w:rPr>
        <w:t>of the MAIL is allotted to each industry, and the size of</w:t>
      </w:r>
      <w:r w:rsidR="00415D79" w:rsidRPr="00056171">
        <w:rPr>
          <w:rFonts w:ascii="Arial" w:hAnsi="Arial" w:cs="Arial"/>
        </w:rPr>
        <w:t xml:space="preserve"> each industry’s </w:t>
      </w:r>
      <w:r w:rsidR="00F8664B" w:rsidRPr="00056171">
        <w:rPr>
          <w:rFonts w:ascii="Arial" w:hAnsi="Arial" w:cs="Arial"/>
        </w:rPr>
        <w:t xml:space="preserve">allotment is proportional to the volume of flow that </w:t>
      </w:r>
      <w:r w:rsidR="00415D79" w:rsidRPr="00056171">
        <w:rPr>
          <w:rFonts w:ascii="Arial" w:hAnsi="Arial" w:cs="Arial"/>
        </w:rPr>
        <w:t>the</w:t>
      </w:r>
      <w:r w:rsidR="00070F86" w:rsidRPr="00056171">
        <w:rPr>
          <w:rFonts w:ascii="Arial" w:hAnsi="Arial" w:cs="Arial"/>
        </w:rPr>
        <w:t xml:space="preserve"> industry discharges.</w:t>
      </w:r>
      <w:r w:rsidR="007C5D3D" w:rsidRPr="00056171">
        <w:rPr>
          <w:rFonts w:ascii="Arial" w:hAnsi="Arial" w:cs="Arial"/>
        </w:rPr>
        <w:t xml:space="preserve">  </w:t>
      </w:r>
      <w:r w:rsidR="00913689" w:rsidRPr="00056171">
        <w:rPr>
          <w:rFonts w:ascii="Arial" w:hAnsi="Arial" w:cs="Arial"/>
        </w:rPr>
        <w:t>The allotment</w:t>
      </w:r>
      <w:r w:rsidR="009D5760" w:rsidRPr="00056171">
        <w:rPr>
          <w:rFonts w:ascii="Arial" w:hAnsi="Arial" w:cs="Arial"/>
        </w:rPr>
        <w:t xml:space="preserve"> for each pollutant</w:t>
      </w:r>
      <w:r w:rsidR="00913689" w:rsidRPr="00056171">
        <w:rPr>
          <w:rFonts w:ascii="Arial" w:hAnsi="Arial" w:cs="Arial"/>
        </w:rPr>
        <w:t xml:space="preserve"> is calculated from the </w:t>
      </w:r>
      <w:r w:rsidR="00B43FE9" w:rsidRPr="00056171">
        <w:rPr>
          <w:rFonts w:ascii="Arial" w:hAnsi="Arial" w:cs="Arial"/>
        </w:rPr>
        <w:t>industry’s</w:t>
      </w:r>
      <w:r w:rsidR="00913689" w:rsidRPr="00056171">
        <w:rPr>
          <w:rFonts w:ascii="Arial" w:hAnsi="Arial" w:cs="Arial"/>
        </w:rPr>
        <w:t xml:space="preserve"> </w:t>
      </w:r>
      <w:r w:rsidR="007C524A" w:rsidRPr="00056171">
        <w:rPr>
          <w:rFonts w:ascii="Arial" w:hAnsi="Arial" w:cs="Arial"/>
        </w:rPr>
        <w:t xml:space="preserve">average </w:t>
      </w:r>
      <w:r w:rsidR="00913689" w:rsidRPr="00056171">
        <w:rPr>
          <w:rFonts w:ascii="Arial" w:hAnsi="Arial" w:cs="Arial"/>
        </w:rPr>
        <w:t xml:space="preserve">flow rate (to which 20% is added as a safety factor) and the concentration limit placed on </w:t>
      </w:r>
      <w:r w:rsidR="005218F4" w:rsidRPr="00056171">
        <w:rPr>
          <w:rFonts w:ascii="Arial" w:hAnsi="Arial" w:cs="Arial"/>
        </w:rPr>
        <w:t>that</w:t>
      </w:r>
      <w:r w:rsidR="00913689" w:rsidRPr="00056171">
        <w:rPr>
          <w:rFonts w:ascii="Arial" w:hAnsi="Arial" w:cs="Arial"/>
        </w:rPr>
        <w:t xml:space="preserve"> pollutant in the industry’s </w:t>
      </w:r>
      <w:r w:rsidR="00BF00BC" w:rsidRPr="00056171">
        <w:rPr>
          <w:rFonts w:ascii="Arial" w:hAnsi="Arial" w:cs="Arial"/>
        </w:rPr>
        <w:t xml:space="preserve">wastewater </w:t>
      </w:r>
      <w:r w:rsidR="00B43FE9" w:rsidRPr="00056171">
        <w:rPr>
          <w:rFonts w:ascii="Arial" w:hAnsi="Arial" w:cs="Arial"/>
        </w:rPr>
        <w:t xml:space="preserve">discharge </w:t>
      </w:r>
      <w:r w:rsidR="00913689" w:rsidRPr="00056171">
        <w:rPr>
          <w:rFonts w:ascii="Arial" w:hAnsi="Arial" w:cs="Arial"/>
        </w:rPr>
        <w:t>permit</w:t>
      </w:r>
      <w:r w:rsidR="00B43FE9" w:rsidRPr="00056171">
        <w:rPr>
          <w:rFonts w:ascii="Arial" w:hAnsi="Arial" w:cs="Arial"/>
        </w:rPr>
        <w:t xml:space="preserve">, which is issued to the industry by MCWMS.  </w:t>
      </w:r>
      <w:r w:rsidR="007874EF" w:rsidRPr="00056171">
        <w:rPr>
          <w:rFonts w:ascii="Arial" w:hAnsi="Arial" w:cs="Arial"/>
        </w:rPr>
        <w:t xml:space="preserve">If </w:t>
      </w:r>
      <w:r w:rsidR="00BF5C2C" w:rsidRPr="00056171">
        <w:rPr>
          <w:rFonts w:ascii="Arial" w:hAnsi="Arial" w:cs="Arial"/>
        </w:rPr>
        <w:t>a</w:t>
      </w:r>
      <w:r w:rsidR="005218F4" w:rsidRPr="00056171">
        <w:rPr>
          <w:rFonts w:ascii="Arial" w:hAnsi="Arial" w:cs="Arial"/>
        </w:rPr>
        <w:t xml:space="preserve">n industry’s </w:t>
      </w:r>
      <w:r w:rsidR="007874EF" w:rsidRPr="00056171">
        <w:rPr>
          <w:rFonts w:ascii="Arial" w:hAnsi="Arial" w:cs="Arial"/>
        </w:rPr>
        <w:t>flow is a limited</w:t>
      </w:r>
      <w:r w:rsidR="005E74D6" w:rsidRPr="00056171">
        <w:rPr>
          <w:rFonts w:ascii="Arial" w:hAnsi="Arial" w:cs="Arial"/>
        </w:rPr>
        <w:t xml:space="preserve"> parameter</w:t>
      </w:r>
      <w:r w:rsidR="00F4303B" w:rsidRPr="00056171">
        <w:rPr>
          <w:rFonts w:ascii="Arial" w:hAnsi="Arial" w:cs="Arial"/>
        </w:rPr>
        <w:t xml:space="preserve"> in </w:t>
      </w:r>
      <w:r w:rsidR="00BF00BC" w:rsidRPr="00056171">
        <w:rPr>
          <w:rFonts w:ascii="Arial" w:hAnsi="Arial" w:cs="Arial"/>
        </w:rPr>
        <w:t>its</w:t>
      </w:r>
      <w:r w:rsidR="00F4303B" w:rsidRPr="00056171">
        <w:rPr>
          <w:rFonts w:ascii="Arial" w:hAnsi="Arial" w:cs="Arial"/>
        </w:rPr>
        <w:t xml:space="preserve"> </w:t>
      </w:r>
      <w:r w:rsidR="00BF00BC" w:rsidRPr="00056171">
        <w:rPr>
          <w:rFonts w:ascii="Arial" w:hAnsi="Arial" w:cs="Arial"/>
        </w:rPr>
        <w:t xml:space="preserve">wastewater discharge </w:t>
      </w:r>
      <w:r w:rsidR="00F4303B" w:rsidRPr="00056171">
        <w:rPr>
          <w:rFonts w:ascii="Arial" w:hAnsi="Arial" w:cs="Arial"/>
        </w:rPr>
        <w:t>permit</w:t>
      </w:r>
      <w:r w:rsidR="007874EF" w:rsidRPr="00056171">
        <w:rPr>
          <w:rFonts w:ascii="Arial" w:hAnsi="Arial" w:cs="Arial"/>
        </w:rPr>
        <w:t xml:space="preserve"> (as in the case of </w:t>
      </w:r>
      <w:r w:rsidR="007D0690" w:rsidRPr="00056171">
        <w:rPr>
          <w:rFonts w:ascii="Arial" w:hAnsi="Arial" w:cs="Arial"/>
        </w:rPr>
        <w:t>industries whose discharge is</w:t>
      </w:r>
      <w:r w:rsidR="00AE77E9" w:rsidRPr="00056171">
        <w:rPr>
          <w:rFonts w:ascii="Arial" w:hAnsi="Arial" w:cs="Arial"/>
        </w:rPr>
        <w:t xml:space="preserve"> associated with </w:t>
      </w:r>
      <w:r w:rsidR="007874EF" w:rsidRPr="00056171">
        <w:rPr>
          <w:rFonts w:ascii="Arial" w:hAnsi="Arial" w:cs="Arial"/>
        </w:rPr>
        <w:t xml:space="preserve">groundwater </w:t>
      </w:r>
      <w:r w:rsidR="00AE77E9" w:rsidRPr="00056171">
        <w:rPr>
          <w:rFonts w:ascii="Arial" w:hAnsi="Arial" w:cs="Arial"/>
        </w:rPr>
        <w:t>remediation</w:t>
      </w:r>
      <w:r w:rsidR="007874EF" w:rsidRPr="00056171">
        <w:rPr>
          <w:rFonts w:ascii="Arial" w:hAnsi="Arial" w:cs="Arial"/>
        </w:rPr>
        <w:t>), then th</w:t>
      </w:r>
      <w:r w:rsidR="00FC5F93" w:rsidRPr="00056171">
        <w:rPr>
          <w:rFonts w:ascii="Arial" w:hAnsi="Arial" w:cs="Arial"/>
        </w:rPr>
        <w:t>at</w:t>
      </w:r>
      <w:r w:rsidR="005E74D6" w:rsidRPr="00056171">
        <w:rPr>
          <w:rFonts w:ascii="Arial" w:hAnsi="Arial" w:cs="Arial"/>
        </w:rPr>
        <w:t xml:space="preserve"> </w:t>
      </w:r>
      <w:r w:rsidR="007874EF" w:rsidRPr="00056171">
        <w:rPr>
          <w:rFonts w:ascii="Arial" w:hAnsi="Arial" w:cs="Arial"/>
        </w:rPr>
        <w:t>flow</w:t>
      </w:r>
      <w:r w:rsidR="005E74D6" w:rsidRPr="00056171">
        <w:rPr>
          <w:rFonts w:ascii="Arial" w:hAnsi="Arial" w:cs="Arial"/>
        </w:rPr>
        <w:t xml:space="preserve"> limit</w:t>
      </w:r>
      <w:r w:rsidR="00F4303B" w:rsidRPr="00056171">
        <w:rPr>
          <w:rFonts w:ascii="Arial" w:hAnsi="Arial" w:cs="Arial"/>
        </w:rPr>
        <w:t>, without the addition of 20%</w:t>
      </w:r>
      <w:r w:rsidR="003E626A" w:rsidRPr="00056171">
        <w:rPr>
          <w:rFonts w:ascii="Arial" w:hAnsi="Arial" w:cs="Arial"/>
        </w:rPr>
        <w:t>, is</w:t>
      </w:r>
      <w:r w:rsidR="007874EF" w:rsidRPr="00056171">
        <w:rPr>
          <w:rFonts w:ascii="Arial" w:hAnsi="Arial" w:cs="Arial"/>
        </w:rPr>
        <w:t xml:space="preserve"> used in the calculation of the </w:t>
      </w:r>
      <w:r w:rsidR="009F01F4" w:rsidRPr="00056171">
        <w:rPr>
          <w:rFonts w:ascii="Arial" w:hAnsi="Arial" w:cs="Arial"/>
        </w:rPr>
        <w:t>wastestream</w:t>
      </w:r>
      <w:r w:rsidR="00F4303B" w:rsidRPr="00056171">
        <w:rPr>
          <w:rFonts w:ascii="Arial" w:hAnsi="Arial" w:cs="Arial"/>
        </w:rPr>
        <w:t xml:space="preserve"> allocation.  </w:t>
      </w:r>
    </w:p>
    <w:p w:rsidR="00F4303B" w:rsidRPr="00056171" w:rsidRDefault="00F4303B" w:rsidP="007316A6">
      <w:pPr>
        <w:rPr>
          <w:rFonts w:ascii="Arial" w:hAnsi="Arial" w:cs="Arial"/>
        </w:rPr>
      </w:pPr>
    </w:p>
    <w:p w:rsidR="00397DD3" w:rsidRPr="00056171" w:rsidRDefault="00A67400" w:rsidP="007316A6">
      <w:pPr>
        <w:rPr>
          <w:rFonts w:ascii="Arial" w:hAnsi="Arial" w:cs="Arial"/>
        </w:rPr>
      </w:pPr>
      <w:r w:rsidRPr="00056171">
        <w:rPr>
          <w:rFonts w:ascii="Arial" w:hAnsi="Arial" w:cs="Arial"/>
        </w:rPr>
        <w:t xml:space="preserve">MCWMS employs a spreadsheet for </w:t>
      </w:r>
      <w:r w:rsidR="00146AA8" w:rsidRPr="00056171">
        <w:rPr>
          <w:rFonts w:ascii="Arial" w:hAnsi="Arial" w:cs="Arial"/>
        </w:rPr>
        <w:t xml:space="preserve">a strict accounting of </w:t>
      </w:r>
      <w:r w:rsidRPr="00056171">
        <w:rPr>
          <w:rFonts w:ascii="Arial" w:hAnsi="Arial" w:cs="Arial"/>
        </w:rPr>
        <w:t xml:space="preserve">the allocation of the MAIL.  The spreadsheet calculates the allocation of each pollutant for each industrial </w:t>
      </w:r>
      <w:r w:rsidR="00BF00BC" w:rsidRPr="00056171">
        <w:rPr>
          <w:rFonts w:ascii="Arial" w:hAnsi="Arial" w:cs="Arial"/>
        </w:rPr>
        <w:t>discharge.</w:t>
      </w:r>
      <w:r w:rsidRPr="00056171">
        <w:rPr>
          <w:rFonts w:ascii="Arial" w:hAnsi="Arial" w:cs="Arial"/>
        </w:rPr>
        <w:t xml:space="preserve">  The allocations for all the industrial </w:t>
      </w:r>
      <w:r w:rsidR="009F01F4" w:rsidRPr="00056171">
        <w:rPr>
          <w:rFonts w:ascii="Arial" w:hAnsi="Arial" w:cs="Arial"/>
        </w:rPr>
        <w:t>wastestream</w:t>
      </w:r>
      <w:r w:rsidRPr="00056171">
        <w:rPr>
          <w:rFonts w:ascii="Arial" w:hAnsi="Arial" w:cs="Arial"/>
        </w:rPr>
        <w:t>s for a given pollutant are summed up, and the sum is compared to the total MAIL.  Any portion of the MAIL not allocated is reserved for industrial growth and for the granting of Specific Alternative Limits if necessary.</w:t>
      </w:r>
      <w:r w:rsidR="004C5EDE" w:rsidRPr="00056171">
        <w:rPr>
          <w:rFonts w:ascii="Arial" w:hAnsi="Arial" w:cs="Arial"/>
        </w:rPr>
        <w:t xml:space="preserve">  </w:t>
      </w:r>
      <w:r w:rsidR="00397DD3" w:rsidRPr="00056171">
        <w:rPr>
          <w:rFonts w:ascii="Arial" w:hAnsi="Arial" w:cs="Arial"/>
        </w:rPr>
        <w:t>The following table is an excerpt from the industrial allocation spreadsheet.</w:t>
      </w:r>
      <w:r w:rsidR="008571F5">
        <w:rPr>
          <w:rFonts w:ascii="Arial" w:hAnsi="Arial" w:cs="Arial"/>
        </w:rPr>
        <w:t xml:space="preserve">  The </w:t>
      </w:r>
      <w:r w:rsidR="00C95CE3">
        <w:rPr>
          <w:rFonts w:ascii="Arial" w:hAnsi="Arial" w:cs="Arial"/>
        </w:rPr>
        <w:t>“I</w:t>
      </w:r>
      <w:r w:rsidR="008571F5">
        <w:rPr>
          <w:rFonts w:ascii="Arial" w:hAnsi="Arial" w:cs="Arial"/>
        </w:rPr>
        <w:t xml:space="preserve">ndustrial </w:t>
      </w:r>
      <w:r w:rsidR="00C95CE3">
        <w:rPr>
          <w:rFonts w:ascii="Arial" w:hAnsi="Arial" w:cs="Arial"/>
        </w:rPr>
        <w:t>A</w:t>
      </w:r>
      <w:r w:rsidR="008571F5">
        <w:rPr>
          <w:rFonts w:ascii="Arial" w:hAnsi="Arial" w:cs="Arial"/>
        </w:rPr>
        <w:t xml:space="preserve">llocation </w:t>
      </w:r>
      <w:r w:rsidR="00C95CE3">
        <w:rPr>
          <w:rFonts w:ascii="Arial" w:hAnsi="Arial" w:cs="Arial"/>
        </w:rPr>
        <w:t>S</w:t>
      </w:r>
      <w:r w:rsidR="008571F5">
        <w:rPr>
          <w:rFonts w:ascii="Arial" w:hAnsi="Arial" w:cs="Arial"/>
        </w:rPr>
        <w:t>preadsheet</w:t>
      </w:r>
      <w:r w:rsidR="00C95CE3">
        <w:rPr>
          <w:rFonts w:ascii="Arial" w:hAnsi="Arial" w:cs="Arial"/>
        </w:rPr>
        <w:t xml:space="preserve">” is available for review </w:t>
      </w:r>
      <w:r w:rsidR="008571F5">
        <w:rPr>
          <w:rFonts w:ascii="Arial" w:hAnsi="Arial" w:cs="Arial"/>
        </w:rPr>
        <w:t>on the MCWMS network located at the Administration Building.</w:t>
      </w:r>
    </w:p>
    <w:p w:rsidR="003E7B23" w:rsidRPr="00056171" w:rsidRDefault="003E7B23" w:rsidP="007316A6">
      <w:pPr>
        <w:rPr>
          <w:rFonts w:ascii="Arial" w:hAnsi="Arial" w:cs="Arial"/>
        </w:rPr>
      </w:pPr>
    </w:p>
    <w:p w:rsidR="00397DD3" w:rsidRPr="00056171" w:rsidRDefault="00397DD3" w:rsidP="007316A6">
      <w:pPr>
        <w:rPr>
          <w:rFonts w:ascii="Arial" w:hAnsi="Arial" w:cs="Arial"/>
        </w:rPr>
      </w:pPr>
    </w:p>
    <w:p w:rsidR="00397DD3" w:rsidRPr="00056171" w:rsidRDefault="0089032C" w:rsidP="0023591F">
      <w:pPr>
        <w:jc w:val="center"/>
        <w:rPr>
          <w:rFonts w:ascii="Arial" w:hAnsi="Arial" w:cs="Arial"/>
          <w:b/>
        </w:rPr>
      </w:pPr>
      <w:r w:rsidRPr="00056171">
        <w:rPr>
          <w:rFonts w:ascii="Arial" w:hAnsi="Arial" w:cs="Arial"/>
          <w:b/>
        </w:rPr>
        <w:t xml:space="preserve">TABLE 1:  </w:t>
      </w:r>
      <w:r w:rsidR="004F63FB" w:rsidRPr="00056171">
        <w:rPr>
          <w:rFonts w:ascii="Arial" w:hAnsi="Arial" w:cs="Arial"/>
          <w:b/>
        </w:rPr>
        <w:t xml:space="preserve">Industrial </w:t>
      </w:r>
      <w:r w:rsidRPr="00056171">
        <w:rPr>
          <w:rFonts w:ascii="Arial" w:hAnsi="Arial" w:cs="Arial"/>
          <w:b/>
        </w:rPr>
        <w:t>Allocation Spreadsheet Excerpt</w:t>
      </w:r>
    </w:p>
    <w:tbl>
      <w:tblPr>
        <w:tblW w:w="8375" w:type="dxa"/>
        <w:jc w:val="center"/>
        <w:tblLook w:val="0000" w:firstRow="0" w:lastRow="0" w:firstColumn="0" w:lastColumn="0" w:noHBand="0" w:noVBand="0"/>
      </w:tblPr>
      <w:tblGrid>
        <w:gridCol w:w="1085"/>
        <w:gridCol w:w="1170"/>
        <w:gridCol w:w="1260"/>
        <w:gridCol w:w="2340"/>
        <w:gridCol w:w="2520"/>
      </w:tblGrid>
      <w:tr w:rsidR="006A4314" w:rsidRPr="00056171" w:rsidTr="0023591F">
        <w:trPr>
          <w:trHeight w:val="432"/>
          <w:jc w:val="center"/>
        </w:trPr>
        <w:tc>
          <w:tcPr>
            <w:tcW w:w="1085" w:type="dxa"/>
            <w:tcBorders>
              <w:top w:val="single" w:sz="4" w:space="0" w:color="000000"/>
              <w:left w:val="single" w:sz="4" w:space="0" w:color="000000"/>
              <w:bottom w:val="single" w:sz="4" w:space="0" w:color="000000"/>
              <w:right w:val="single" w:sz="4" w:space="0" w:color="000000"/>
            </w:tcBorders>
            <w:shd w:val="clear" w:color="000000" w:fill="C0C0C0"/>
            <w:vAlign w:val="center"/>
          </w:tcPr>
          <w:p w:rsidR="006A4314" w:rsidRPr="00056171" w:rsidRDefault="006A4314">
            <w:pPr>
              <w:jc w:val="center"/>
              <w:rPr>
                <w:rFonts w:ascii="Arial" w:hAnsi="Arial" w:cs="Arial"/>
                <w:color w:val="000000"/>
                <w:sz w:val="16"/>
                <w:szCs w:val="16"/>
              </w:rPr>
            </w:pPr>
            <w:r w:rsidRPr="00056171">
              <w:rPr>
                <w:rFonts w:ascii="Arial" w:hAnsi="Arial" w:cs="Arial"/>
                <w:color w:val="000000"/>
                <w:sz w:val="16"/>
                <w:szCs w:val="16"/>
              </w:rPr>
              <w:t>Client ID</w:t>
            </w:r>
          </w:p>
        </w:tc>
        <w:tc>
          <w:tcPr>
            <w:tcW w:w="1170" w:type="dxa"/>
            <w:tcBorders>
              <w:top w:val="single" w:sz="4" w:space="0" w:color="000000"/>
              <w:left w:val="nil"/>
              <w:bottom w:val="single" w:sz="4" w:space="0" w:color="000000"/>
              <w:right w:val="single" w:sz="4" w:space="0" w:color="000000"/>
            </w:tcBorders>
            <w:shd w:val="clear" w:color="000000" w:fill="C0C0C0"/>
            <w:vAlign w:val="center"/>
          </w:tcPr>
          <w:p w:rsidR="006A4314" w:rsidRPr="00056171" w:rsidRDefault="006A4314">
            <w:pPr>
              <w:jc w:val="center"/>
              <w:rPr>
                <w:rFonts w:ascii="Arial" w:hAnsi="Arial" w:cs="Arial"/>
                <w:color w:val="000000"/>
                <w:sz w:val="16"/>
                <w:szCs w:val="16"/>
              </w:rPr>
            </w:pPr>
            <w:r w:rsidRPr="00056171">
              <w:rPr>
                <w:rFonts w:ascii="Arial" w:hAnsi="Arial" w:cs="Arial"/>
                <w:color w:val="000000"/>
                <w:sz w:val="16"/>
                <w:szCs w:val="16"/>
              </w:rPr>
              <w:t>Monitor      Site ID</w:t>
            </w:r>
          </w:p>
        </w:tc>
        <w:tc>
          <w:tcPr>
            <w:tcW w:w="1260" w:type="dxa"/>
            <w:tcBorders>
              <w:top w:val="single" w:sz="4" w:space="0" w:color="000000"/>
              <w:left w:val="nil"/>
              <w:bottom w:val="single" w:sz="4" w:space="0" w:color="000000"/>
              <w:right w:val="single" w:sz="4" w:space="0" w:color="000000"/>
            </w:tcBorders>
            <w:shd w:val="clear" w:color="000000" w:fill="C0C0C0"/>
            <w:vAlign w:val="center"/>
          </w:tcPr>
          <w:p w:rsidR="006A4314" w:rsidRPr="00056171" w:rsidRDefault="006A4314">
            <w:pPr>
              <w:jc w:val="center"/>
              <w:rPr>
                <w:rFonts w:ascii="Arial" w:hAnsi="Arial" w:cs="Arial"/>
                <w:color w:val="000000"/>
                <w:sz w:val="16"/>
                <w:szCs w:val="16"/>
              </w:rPr>
            </w:pPr>
            <w:r w:rsidRPr="00056171">
              <w:rPr>
                <w:rFonts w:ascii="Arial" w:hAnsi="Arial" w:cs="Arial"/>
                <w:color w:val="000000"/>
                <w:sz w:val="16"/>
                <w:szCs w:val="16"/>
              </w:rPr>
              <w:t>Flow + 20% (MGD)</w:t>
            </w:r>
          </w:p>
        </w:tc>
        <w:tc>
          <w:tcPr>
            <w:tcW w:w="2340" w:type="dxa"/>
            <w:tcBorders>
              <w:top w:val="single" w:sz="4" w:space="0" w:color="000000"/>
              <w:left w:val="nil"/>
              <w:bottom w:val="single" w:sz="4" w:space="0" w:color="000000"/>
              <w:right w:val="single" w:sz="4" w:space="0" w:color="000000"/>
            </w:tcBorders>
            <w:shd w:val="clear" w:color="auto" w:fill="auto"/>
            <w:vAlign w:val="center"/>
          </w:tcPr>
          <w:p w:rsidR="006A4314" w:rsidRPr="006A4314" w:rsidRDefault="006A4314">
            <w:pPr>
              <w:jc w:val="center"/>
              <w:rPr>
                <w:rFonts w:ascii="Arial" w:hAnsi="Arial" w:cs="Arial"/>
                <w:sz w:val="16"/>
                <w:szCs w:val="16"/>
              </w:rPr>
            </w:pPr>
            <w:r w:rsidRPr="006A4314">
              <w:rPr>
                <w:rFonts w:ascii="Arial" w:hAnsi="Arial" w:cs="Arial"/>
                <w:sz w:val="16"/>
                <w:szCs w:val="16"/>
              </w:rPr>
              <w:t>Phosphorus Monthly Average Limit (mg/L)</w:t>
            </w:r>
          </w:p>
        </w:tc>
        <w:tc>
          <w:tcPr>
            <w:tcW w:w="2520" w:type="dxa"/>
            <w:tcBorders>
              <w:top w:val="single" w:sz="4" w:space="0" w:color="000000"/>
              <w:left w:val="nil"/>
              <w:bottom w:val="single" w:sz="4" w:space="0" w:color="000000"/>
              <w:right w:val="single" w:sz="4" w:space="0" w:color="000000"/>
            </w:tcBorders>
            <w:shd w:val="clear" w:color="auto" w:fill="auto"/>
            <w:vAlign w:val="center"/>
          </w:tcPr>
          <w:p w:rsidR="006A4314" w:rsidRPr="006A4314" w:rsidRDefault="006A4314">
            <w:pPr>
              <w:jc w:val="center"/>
              <w:rPr>
                <w:rFonts w:ascii="Arial" w:hAnsi="Arial" w:cs="Arial"/>
                <w:sz w:val="16"/>
                <w:szCs w:val="16"/>
              </w:rPr>
            </w:pPr>
            <w:r w:rsidRPr="006A4314">
              <w:rPr>
                <w:rFonts w:ascii="Arial" w:hAnsi="Arial" w:cs="Arial"/>
                <w:sz w:val="16"/>
                <w:szCs w:val="16"/>
              </w:rPr>
              <w:t>Phosphorus Monthly Average Allocation (lb/day)</w:t>
            </w:r>
          </w:p>
        </w:tc>
      </w:tr>
      <w:tr w:rsidR="006A4314" w:rsidRPr="00056171" w:rsidTr="00877EFC">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ADAC</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ADAC101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0.0036204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125</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25.0975875</w:t>
            </w:r>
          </w:p>
        </w:tc>
      </w:tr>
      <w:tr w:rsidR="006A4314" w:rsidRPr="00056171" w:rsidTr="00877EFC">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BDKJ</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BDKJ005</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0.0662208</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8.202187008</w:t>
            </w:r>
          </w:p>
        </w:tc>
      </w:tr>
      <w:tr w:rsidR="006A4314" w:rsidRPr="00056171" w:rsidTr="00877EFC">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BRCS</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BRCS001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0.3221316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34.68517135</w:t>
            </w:r>
          </w:p>
        </w:tc>
      </w:tr>
      <w:tr w:rsidR="006A4314" w:rsidRPr="00056171" w:rsidTr="00877EFC">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CAMU</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CAMU001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0.8770032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143.4869008</w:t>
            </w:r>
          </w:p>
        </w:tc>
      </w:tr>
      <w:tr w:rsidR="006A4314" w:rsidRPr="00056171" w:rsidTr="00877EFC">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CNNM</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CNNM001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0.0068244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6.009241176</w:t>
            </w:r>
          </w:p>
        </w:tc>
      </w:tr>
      <w:tr w:rsidR="006A4314" w:rsidRPr="00056171" w:rsidTr="00877EFC">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DMMI</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DMMI001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0.0026688</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50.0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1.6918653</w:t>
            </w:r>
          </w:p>
        </w:tc>
      </w:tr>
      <w:tr w:rsidR="006A4314" w:rsidRPr="00056171" w:rsidTr="004D7F2A">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DMMI</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DMMI002</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0.0150276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6.514127028</w:t>
            </w:r>
          </w:p>
        </w:tc>
      </w:tr>
      <w:tr w:rsidR="006A4314" w:rsidRPr="00056171" w:rsidTr="004D7F2A">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DSCD</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DSCD212</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0.000102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3055</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3.64053963</w:t>
            </w:r>
          </w:p>
        </w:tc>
      </w:tr>
      <w:tr w:rsidR="006A4314" w:rsidRPr="00056171" w:rsidTr="00C95CE3">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DSCP</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DSCP101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0.0008256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50.0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0.670938</w:t>
            </w:r>
          </w:p>
        </w:tc>
      </w:tr>
      <w:tr w:rsidR="006A4314" w:rsidRPr="00056171" w:rsidTr="00C95CE3">
        <w:trPr>
          <w:trHeight w:val="288"/>
          <w:jc w:val="center"/>
        </w:trPr>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lastRenderedPageBreak/>
              <w:t>DYNF</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DYNF101</w:t>
            </w:r>
          </w:p>
        </w:tc>
        <w:tc>
          <w:tcPr>
            <w:tcW w:w="1260" w:type="dxa"/>
            <w:tcBorders>
              <w:top w:val="single" w:sz="4" w:space="0" w:color="000000"/>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0.0015552</w:t>
            </w:r>
          </w:p>
        </w:tc>
        <w:tc>
          <w:tcPr>
            <w:tcW w:w="2340" w:type="dxa"/>
            <w:tcBorders>
              <w:top w:val="single" w:sz="4" w:space="0" w:color="000000"/>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single" w:sz="4" w:space="0" w:color="000000"/>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0.251091036</w:t>
            </w:r>
          </w:p>
        </w:tc>
      </w:tr>
      <w:tr w:rsidR="006A4314" w:rsidRPr="00056171" w:rsidTr="00C95CE3">
        <w:trPr>
          <w:trHeight w:val="288"/>
          <w:jc w:val="center"/>
        </w:trPr>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ESCO</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ESCO101</w:t>
            </w:r>
          </w:p>
        </w:tc>
        <w:tc>
          <w:tcPr>
            <w:tcW w:w="1260" w:type="dxa"/>
            <w:tcBorders>
              <w:top w:val="single" w:sz="4" w:space="0" w:color="000000"/>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0.0716124</w:t>
            </w:r>
          </w:p>
        </w:tc>
        <w:tc>
          <w:tcPr>
            <w:tcW w:w="2340" w:type="dxa"/>
            <w:tcBorders>
              <w:top w:val="single" w:sz="4" w:space="0" w:color="000000"/>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single" w:sz="4" w:space="0" w:color="000000"/>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5.930831556</w:t>
            </w:r>
          </w:p>
        </w:tc>
      </w:tr>
      <w:tr w:rsidR="006A4314" w:rsidRPr="00056171" w:rsidTr="004D7F2A">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GLFI</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GLFI101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0.0218124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0.941636448</w:t>
            </w:r>
          </w:p>
        </w:tc>
      </w:tr>
      <w:tr w:rsidR="006A4314" w:rsidRPr="00056171" w:rsidTr="004D7F2A">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HACK</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HACK001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0.024156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3.62847276</w:t>
            </w:r>
          </w:p>
        </w:tc>
      </w:tr>
      <w:tr w:rsidR="006A4314" w:rsidRPr="00056171" w:rsidTr="004D7F2A">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HACK</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HACK002</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0.024156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3.62847276</w:t>
            </w:r>
          </w:p>
        </w:tc>
      </w:tr>
      <w:tr w:rsidR="006A4314" w:rsidRPr="00056171" w:rsidTr="004D7F2A">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HACK</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HACK003</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0.024156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3.62847276</w:t>
            </w:r>
          </w:p>
        </w:tc>
      </w:tr>
      <w:tr w:rsidR="006A4314" w:rsidRPr="00056171" w:rsidTr="004D7F2A">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HACK</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HACK004</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0.024156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3.62847276</w:t>
            </w:r>
          </w:p>
        </w:tc>
      </w:tr>
      <w:tr w:rsidR="006A4314" w:rsidRPr="00056171" w:rsidTr="004D7F2A">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HLNW</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HLNW101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0.0124464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104</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23.35777517</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HLTE</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HLTE001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0.0041064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40.0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0.09773664</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HOW1</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HOW1001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0.0184992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1.35459378</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HOW3</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HOW3001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0.0329556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40.0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8.23391136</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HOW3</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HOW3003</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0.0047016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40.0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8.982558</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HOW3</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HOW3102</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0.0333324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10.96851445</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HOW4</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HOW4002</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0.0423432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4.000332636</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HOW4</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HOW4003</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0.030132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4.262779548</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HOW4</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HOW4101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0.0425844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1.360722348</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HOW5</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HOW5002</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0.0041976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8.279695368</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HOW5</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HOW5101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0.0458616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1.9467216</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HOWO</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HOWO001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0.0135144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40.0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23.53129776</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HOWT</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HOWT001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0.0754152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1750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60.880113</w:t>
            </w:r>
          </w:p>
        </w:tc>
      </w:tr>
      <w:tr w:rsidR="006A4314" w:rsidRPr="00056171" w:rsidTr="009620A4">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IMCC</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IMCC001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0.0031524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40.0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0.09773664</w:t>
            </w:r>
          </w:p>
        </w:tc>
      </w:tr>
      <w:tr w:rsidR="006A4314" w:rsidRPr="00056171" w:rsidTr="00342647">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KAYD</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KAYD001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0.0334164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60.0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10.034028</w:t>
            </w:r>
          </w:p>
        </w:tc>
      </w:tr>
      <w:tr w:rsidR="006A4314" w:rsidRPr="00056171" w:rsidTr="00342647">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KNL2</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KNL2101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0.0230916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500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223.277151</w:t>
            </w:r>
          </w:p>
        </w:tc>
      </w:tr>
      <w:tr w:rsidR="006A4314" w:rsidRPr="00056171" w:rsidTr="00342647">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L3CO</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L3CO001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0.0262284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1.723930128</w:t>
            </w:r>
          </w:p>
        </w:tc>
      </w:tr>
      <w:tr w:rsidR="006A4314" w:rsidRPr="00056171" w:rsidTr="00342647">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LRNI</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LRNI101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0.2927112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300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704.4638706</w:t>
            </w:r>
          </w:p>
        </w:tc>
      </w:tr>
      <w:tr w:rsidR="006A4314" w:rsidRPr="00056171" w:rsidTr="00342647">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MACI</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MACI101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0.0011868</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0.676666008</w:t>
            </w:r>
          </w:p>
        </w:tc>
      </w:tr>
      <w:tr w:rsidR="006A4314" w:rsidRPr="00056171" w:rsidTr="00342647">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MCSW</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MCSW001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0.0152604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0.835648272</w:t>
            </w:r>
          </w:p>
        </w:tc>
      </w:tr>
      <w:tr w:rsidR="006A4314" w:rsidRPr="00056171" w:rsidTr="00342647">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MCSW</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MCSW002</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0.0092316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0.90126</w:t>
            </w:r>
          </w:p>
        </w:tc>
      </w:tr>
      <w:tr w:rsidR="006A4314" w:rsidRPr="00056171" w:rsidTr="00342647">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MCSW</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MCSW003</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0.0523332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1.261764</w:t>
            </w:r>
          </w:p>
        </w:tc>
      </w:tr>
      <w:tr w:rsidR="006A4314" w:rsidRPr="00056171" w:rsidTr="00342647">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MCTC</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MCTC201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0.004152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0.716141196</w:t>
            </w:r>
          </w:p>
        </w:tc>
      </w:tr>
      <w:tr w:rsidR="006A4314" w:rsidRPr="00056171" w:rsidTr="00C3730D">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MFTH</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MFTH101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0.0120024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0.972820044</w:t>
            </w:r>
          </w:p>
        </w:tc>
      </w:tr>
      <w:tr w:rsidR="006A4314" w:rsidRPr="00056171" w:rsidTr="00C3730D">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PCDP</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PCDP001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0.005118</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50.0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1.5651882</w:t>
            </w:r>
          </w:p>
        </w:tc>
      </w:tr>
      <w:tr w:rsidR="006A4314" w:rsidRPr="00056171" w:rsidTr="00C3730D">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Pr>
                <w:rFonts w:ascii="Arial" w:hAnsi="Arial" w:cs="Arial"/>
                <w:color w:val="000000"/>
                <w:sz w:val="16"/>
                <w:szCs w:val="16"/>
              </w:rPr>
              <w:t>PCDC</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Pr>
                <w:rFonts w:ascii="Arial" w:hAnsi="Arial" w:cs="Arial"/>
                <w:color w:val="000000"/>
                <w:sz w:val="16"/>
                <w:szCs w:val="16"/>
              </w:rPr>
              <w:t>PCDC001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Pr>
                <w:rFonts w:ascii="Arial" w:hAnsi="Arial" w:cs="Arial"/>
                <w:sz w:val="16"/>
                <w:szCs w:val="16"/>
              </w:rPr>
              <w:t>0.0074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50.0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3.08765</w:t>
            </w:r>
          </w:p>
        </w:tc>
      </w:tr>
      <w:tr w:rsidR="006A4314" w:rsidRPr="00056171" w:rsidTr="00C3730D">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Pr>
                <w:rFonts w:ascii="Arial" w:hAnsi="Arial" w:cs="Arial"/>
                <w:color w:val="000000"/>
                <w:sz w:val="16"/>
                <w:szCs w:val="16"/>
              </w:rPr>
              <w:t>PHLO</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Pr>
                <w:rFonts w:ascii="Arial" w:hAnsi="Arial" w:cs="Arial"/>
                <w:color w:val="000000"/>
                <w:sz w:val="16"/>
                <w:szCs w:val="16"/>
              </w:rPr>
              <w:t>PHLO001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Pr>
                <w:rFonts w:ascii="Arial" w:hAnsi="Arial" w:cs="Arial"/>
                <w:sz w:val="16"/>
                <w:szCs w:val="16"/>
              </w:rPr>
              <w:t>0.0047292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color w:val="FF0000"/>
                <w:sz w:val="16"/>
                <w:szCs w:val="16"/>
              </w:rPr>
              <w:t>200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Pr>
                <w:rFonts w:ascii="Arial" w:hAnsi="Arial" w:cs="Arial"/>
                <w:sz w:val="16"/>
                <w:szCs w:val="16"/>
              </w:rPr>
              <w:t>7.8930348</w:t>
            </w:r>
          </w:p>
        </w:tc>
      </w:tr>
      <w:tr w:rsidR="006A4314" w:rsidRPr="00056171" w:rsidTr="00C3730D">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PRPR</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PRPR101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0.0030432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0.701000028</w:t>
            </w:r>
          </w:p>
        </w:tc>
      </w:tr>
      <w:tr w:rsidR="006A4314" w:rsidRPr="00056171" w:rsidTr="00C3730D">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QPLT</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QPLT101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0.0301272</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3.455791344</w:t>
            </w:r>
          </w:p>
        </w:tc>
      </w:tr>
      <w:tr w:rsidR="006A4314" w:rsidRPr="00056171" w:rsidTr="00C3730D">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SCST</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SCST111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0.000006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500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w:t>
            </w:r>
          </w:p>
        </w:tc>
      </w:tr>
      <w:tr w:rsidR="006A4314" w:rsidRPr="00056171" w:rsidTr="00C3730D">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TCWC</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TCWC001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0.0465708</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2.486936844</w:t>
            </w:r>
          </w:p>
        </w:tc>
      </w:tr>
      <w:tr w:rsidR="006A4314" w:rsidRPr="00056171" w:rsidTr="0023591F">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THOD</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THOD101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0.0000096</w:t>
            </w:r>
          </w:p>
        </w:tc>
        <w:tc>
          <w:tcPr>
            <w:tcW w:w="234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center"/>
              <w:rPr>
                <w:rFonts w:ascii="Arial" w:hAnsi="Arial" w:cs="Arial"/>
                <w:sz w:val="16"/>
                <w:szCs w:val="16"/>
              </w:rPr>
            </w:pPr>
            <w:r w:rsidRPr="00056171">
              <w:rPr>
                <w:rFonts w:ascii="Arial" w:hAnsi="Arial" w:cs="Arial"/>
                <w:sz w:val="16"/>
                <w:szCs w:val="16"/>
              </w:rPr>
              <w:t>0.100</w:t>
            </w:r>
          </w:p>
        </w:tc>
        <w:tc>
          <w:tcPr>
            <w:tcW w:w="252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center"/>
              <w:rPr>
                <w:rFonts w:ascii="Arial" w:hAnsi="Arial" w:cs="Arial"/>
                <w:sz w:val="16"/>
                <w:szCs w:val="16"/>
              </w:rPr>
            </w:pPr>
            <w:r w:rsidRPr="00056171">
              <w:rPr>
                <w:rFonts w:ascii="Arial" w:hAnsi="Arial" w:cs="Arial"/>
                <w:sz w:val="16"/>
                <w:szCs w:val="16"/>
              </w:rPr>
              <w:t>8.0112E-06</w:t>
            </w:r>
          </w:p>
        </w:tc>
      </w:tr>
      <w:tr w:rsidR="006A4314" w:rsidRPr="00056171" w:rsidTr="007404AA">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TOWR</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TOWR101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0.0012696</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0.030102084</w:t>
            </w:r>
          </w:p>
        </w:tc>
      </w:tr>
      <w:tr w:rsidR="006A4314" w:rsidRPr="00056171" w:rsidTr="007404AA">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WEBB</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WEBB001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0.0057408</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color w:val="FF0000"/>
                <w:sz w:val="16"/>
                <w:szCs w:val="16"/>
              </w:rPr>
            </w:pPr>
            <w:r w:rsidRPr="006A4314">
              <w:rPr>
                <w:rFonts w:ascii="Arial" w:hAnsi="Arial" w:cs="Arial"/>
                <w:color w:val="FF0000"/>
                <w:sz w:val="16"/>
                <w:szCs w:val="16"/>
              </w:rPr>
              <w:t>100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3.274578</w:t>
            </w:r>
          </w:p>
        </w:tc>
      </w:tr>
      <w:tr w:rsidR="006A4314" w:rsidRPr="00056171" w:rsidTr="007404AA">
        <w:trPr>
          <w:trHeight w:val="288"/>
          <w:jc w:val="center"/>
        </w:trPr>
        <w:tc>
          <w:tcPr>
            <w:tcW w:w="1085" w:type="dxa"/>
            <w:tcBorders>
              <w:top w:val="nil"/>
              <w:left w:val="single" w:sz="4" w:space="0" w:color="000000"/>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WHLL</w:t>
            </w:r>
          </w:p>
        </w:tc>
        <w:tc>
          <w:tcPr>
            <w:tcW w:w="1170" w:type="dxa"/>
            <w:tcBorders>
              <w:top w:val="nil"/>
              <w:left w:val="nil"/>
              <w:bottom w:val="single" w:sz="4" w:space="0" w:color="000000"/>
              <w:right w:val="single" w:sz="4" w:space="0" w:color="000000"/>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WHLL101</w:t>
            </w:r>
          </w:p>
        </w:tc>
        <w:tc>
          <w:tcPr>
            <w:tcW w:w="1260" w:type="dxa"/>
            <w:tcBorders>
              <w:top w:val="nil"/>
              <w:left w:val="nil"/>
              <w:bottom w:val="single" w:sz="4" w:space="0" w:color="000000"/>
              <w:right w:val="single" w:sz="4" w:space="0" w:color="000000"/>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0.006474</w:t>
            </w:r>
          </w:p>
        </w:tc>
        <w:tc>
          <w:tcPr>
            <w:tcW w:w="234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w:t>
            </w:r>
          </w:p>
        </w:tc>
        <w:tc>
          <w:tcPr>
            <w:tcW w:w="2520" w:type="dxa"/>
            <w:tcBorders>
              <w:top w:val="nil"/>
              <w:left w:val="nil"/>
              <w:bottom w:val="single" w:sz="4" w:space="0" w:color="000000"/>
              <w:right w:val="single" w:sz="4" w:space="0" w:color="000000"/>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0.87332094</w:t>
            </w:r>
          </w:p>
        </w:tc>
      </w:tr>
      <w:tr w:rsidR="006A4314" w:rsidRPr="00056171" w:rsidTr="0023591F">
        <w:trPr>
          <w:trHeight w:val="375"/>
          <w:jc w:val="center"/>
        </w:trPr>
        <w:tc>
          <w:tcPr>
            <w:tcW w:w="2255"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tcPr>
          <w:p w:rsidR="006A4314" w:rsidRPr="00056171" w:rsidRDefault="006A4314">
            <w:pPr>
              <w:rPr>
                <w:rFonts w:ascii="Arial" w:hAnsi="Arial" w:cs="Arial"/>
                <w:color w:val="000000"/>
                <w:sz w:val="16"/>
                <w:szCs w:val="16"/>
              </w:rPr>
            </w:pPr>
          </w:p>
          <w:p w:rsidR="006A4314" w:rsidRPr="00056171" w:rsidRDefault="006A4314">
            <w:pPr>
              <w:rPr>
                <w:rFonts w:ascii="Arial" w:hAnsi="Arial" w:cs="Arial"/>
                <w:color w:val="000000"/>
                <w:sz w:val="16"/>
                <w:szCs w:val="16"/>
              </w:rPr>
            </w:pPr>
            <w:r w:rsidRPr="00056171">
              <w:rPr>
                <w:rFonts w:ascii="Arial" w:hAnsi="Arial" w:cs="Arial"/>
                <w:color w:val="000000"/>
                <w:sz w:val="16"/>
                <w:szCs w:val="16"/>
              </w:rPr>
              <w:t>Groundwater Discharges</w:t>
            </w:r>
          </w:p>
          <w:p w:rsidR="006A4314" w:rsidRPr="00056171" w:rsidRDefault="006A4314">
            <w:pPr>
              <w:jc w:val="center"/>
              <w:rPr>
                <w:rFonts w:ascii="Arial" w:hAnsi="Arial" w:cs="Arial"/>
                <w:color w:val="000000"/>
                <w:sz w:val="16"/>
                <w:szCs w:val="16"/>
              </w:rPr>
            </w:pPr>
            <w:r w:rsidRPr="00056171">
              <w:rPr>
                <w:rFonts w:ascii="Arial" w:hAnsi="Arial" w:cs="Arial"/>
                <w:color w:val="000000"/>
                <w:sz w:val="16"/>
                <w:szCs w:val="16"/>
              </w:rPr>
              <w:t> </w:t>
            </w:r>
          </w:p>
        </w:tc>
        <w:tc>
          <w:tcPr>
            <w:tcW w:w="1260" w:type="dxa"/>
            <w:tcBorders>
              <w:top w:val="single" w:sz="4" w:space="0" w:color="auto"/>
              <w:left w:val="nil"/>
              <w:bottom w:val="single" w:sz="4" w:space="0" w:color="auto"/>
              <w:right w:val="nil"/>
            </w:tcBorders>
            <w:shd w:val="clear" w:color="000000" w:fill="C0C0C0"/>
            <w:vAlign w:val="center"/>
          </w:tcPr>
          <w:p w:rsidR="006A4314" w:rsidRPr="00056171" w:rsidRDefault="006A4314">
            <w:pPr>
              <w:jc w:val="center"/>
              <w:rPr>
                <w:rFonts w:ascii="Arial" w:hAnsi="Arial" w:cs="Arial"/>
                <w:color w:val="000000"/>
                <w:sz w:val="16"/>
                <w:szCs w:val="16"/>
              </w:rPr>
            </w:pPr>
            <w:r w:rsidRPr="00056171">
              <w:rPr>
                <w:rFonts w:ascii="Arial" w:hAnsi="Arial" w:cs="Arial"/>
                <w:color w:val="000000"/>
                <w:sz w:val="16"/>
                <w:szCs w:val="16"/>
              </w:rPr>
              <w:t>Limited Flow (MGD)</w:t>
            </w:r>
          </w:p>
        </w:tc>
        <w:tc>
          <w:tcPr>
            <w:tcW w:w="2340" w:type="dxa"/>
            <w:tcBorders>
              <w:top w:val="nil"/>
              <w:left w:val="single" w:sz="4" w:space="0" w:color="000000"/>
              <w:bottom w:val="single" w:sz="4" w:space="0" w:color="auto"/>
              <w:right w:val="single" w:sz="4" w:space="0" w:color="000000"/>
            </w:tcBorders>
            <w:shd w:val="clear" w:color="auto" w:fill="auto"/>
            <w:noWrap/>
            <w:vAlign w:val="center"/>
          </w:tcPr>
          <w:p w:rsidR="006A4314" w:rsidRPr="00056171" w:rsidRDefault="006A4314">
            <w:pPr>
              <w:rPr>
                <w:rFonts w:ascii="Arial" w:hAnsi="Arial" w:cs="Arial"/>
                <w:sz w:val="16"/>
                <w:szCs w:val="16"/>
              </w:rPr>
            </w:pPr>
            <w:r w:rsidRPr="00056171">
              <w:rPr>
                <w:rFonts w:ascii="Arial" w:hAnsi="Arial" w:cs="Arial"/>
                <w:sz w:val="16"/>
                <w:szCs w:val="16"/>
              </w:rPr>
              <w:t> </w:t>
            </w:r>
          </w:p>
        </w:tc>
        <w:tc>
          <w:tcPr>
            <w:tcW w:w="2520" w:type="dxa"/>
            <w:tcBorders>
              <w:top w:val="nil"/>
              <w:left w:val="nil"/>
              <w:bottom w:val="single" w:sz="4" w:space="0" w:color="auto"/>
              <w:right w:val="single" w:sz="4" w:space="0" w:color="000000"/>
            </w:tcBorders>
            <w:shd w:val="clear" w:color="auto" w:fill="auto"/>
            <w:noWrap/>
            <w:vAlign w:val="center"/>
          </w:tcPr>
          <w:p w:rsidR="006A4314" w:rsidRPr="00056171" w:rsidRDefault="006A4314">
            <w:pPr>
              <w:rPr>
                <w:rFonts w:ascii="Arial" w:hAnsi="Arial" w:cs="Arial"/>
                <w:sz w:val="16"/>
                <w:szCs w:val="16"/>
              </w:rPr>
            </w:pPr>
            <w:r w:rsidRPr="00056171">
              <w:rPr>
                <w:rFonts w:ascii="Arial" w:hAnsi="Arial" w:cs="Arial"/>
                <w:sz w:val="16"/>
                <w:szCs w:val="16"/>
              </w:rPr>
              <w:t> </w:t>
            </w:r>
          </w:p>
        </w:tc>
      </w:tr>
      <w:tr w:rsidR="006A4314" w:rsidRPr="00056171" w:rsidTr="00C95CE3">
        <w:trPr>
          <w:trHeight w:val="288"/>
          <w:jc w:val="center"/>
        </w:trPr>
        <w:tc>
          <w:tcPr>
            <w:tcW w:w="1085" w:type="dxa"/>
            <w:tcBorders>
              <w:top w:val="nil"/>
              <w:left w:val="single" w:sz="4" w:space="0" w:color="auto"/>
              <w:bottom w:val="single" w:sz="4" w:space="0" w:color="auto"/>
              <w:right w:val="single" w:sz="4" w:space="0" w:color="auto"/>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BOFO</w:t>
            </w:r>
          </w:p>
        </w:tc>
        <w:tc>
          <w:tcPr>
            <w:tcW w:w="1170" w:type="dxa"/>
            <w:tcBorders>
              <w:top w:val="nil"/>
              <w:left w:val="nil"/>
              <w:bottom w:val="single" w:sz="4" w:space="0" w:color="auto"/>
              <w:right w:val="single" w:sz="4" w:space="0" w:color="auto"/>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BOFO101</w:t>
            </w:r>
          </w:p>
        </w:tc>
        <w:tc>
          <w:tcPr>
            <w:tcW w:w="1260" w:type="dxa"/>
            <w:tcBorders>
              <w:top w:val="nil"/>
              <w:left w:val="nil"/>
              <w:bottom w:val="single" w:sz="4" w:space="0" w:color="auto"/>
              <w:right w:val="single" w:sz="4" w:space="0" w:color="auto"/>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0.432</w:t>
            </w:r>
          </w:p>
        </w:tc>
        <w:tc>
          <w:tcPr>
            <w:tcW w:w="2340" w:type="dxa"/>
            <w:tcBorders>
              <w:top w:val="nil"/>
              <w:left w:val="nil"/>
              <w:bottom w:val="single" w:sz="4" w:space="0" w:color="auto"/>
              <w:right w:val="single" w:sz="4" w:space="0" w:color="auto"/>
            </w:tcBorders>
            <w:shd w:val="clear" w:color="auto" w:fill="auto"/>
            <w:noWrap/>
            <w:vAlign w:val="bottom"/>
          </w:tcPr>
          <w:p w:rsidR="006A4314" w:rsidRPr="006A4314" w:rsidRDefault="006A4314">
            <w:pPr>
              <w:jc w:val="center"/>
              <w:rPr>
                <w:rFonts w:ascii="Arial" w:hAnsi="Arial" w:cs="Arial"/>
                <w:color w:val="008000"/>
                <w:sz w:val="16"/>
                <w:szCs w:val="16"/>
              </w:rPr>
            </w:pPr>
            <w:r w:rsidRPr="006A4314">
              <w:rPr>
                <w:rFonts w:ascii="Arial" w:hAnsi="Arial" w:cs="Arial"/>
                <w:color w:val="008000"/>
                <w:sz w:val="16"/>
                <w:szCs w:val="16"/>
              </w:rPr>
              <w:t>5.00</w:t>
            </w:r>
          </w:p>
        </w:tc>
        <w:tc>
          <w:tcPr>
            <w:tcW w:w="2520" w:type="dxa"/>
            <w:tcBorders>
              <w:top w:val="nil"/>
              <w:left w:val="nil"/>
              <w:bottom w:val="single" w:sz="4" w:space="0" w:color="auto"/>
              <w:right w:val="single" w:sz="4" w:space="0" w:color="auto"/>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18.0252</w:t>
            </w:r>
          </w:p>
        </w:tc>
      </w:tr>
      <w:tr w:rsidR="006A4314" w:rsidRPr="00056171" w:rsidTr="00C95CE3">
        <w:trPr>
          <w:trHeight w:val="288"/>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lastRenderedPageBreak/>
              <w:t>MAHL</w:t>
            </w:r>
          </w:p>
        </w:tc>
        <w:tc>
          <w:tcPr>
            <w:tcW w:w="1170" w:type="dxa"/>
            <w:tcBorders>
              <w:top w:val="single" w:sz="4" w:space="0" w:color="auto"/>
              <w:left w:val="nil"/>
              <w:bottom w:val="single" w:sz="4" w:space="0" w:color="auto"/>
              <w:right w:val="single" w:sz="4" w:space="0" w:color="auto"/>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MAHL301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0.3</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6A4314" w:rsidRPr="006A4314" w:rsidRDefault="006A4314">
            <w:pPr>
              <w:jc w:val="center"/>
              <w:rPr>
                <w:rFonts w:ascii="Arial" w:hAnsi="Arial" w:cs="Arial"/>
                <w:color w:val="008000"/>
                <w:sz w:val="16"/>
                <w:szCs w:val="16"/>
              </w:rPr>
            </w:pPr>
            <w:r w:rsidRPr="006A4314">
              <w:rPr>
                <w:rFonts w:ascii="Arial" w:hAnsi="Arial" w:cs="Arial"/>
                <w:color w:val="008000"/>
                <w:sz w:val="16"/>
                <w:szCs w:val="16"/>
              </w:rPr>
              <w:t>5.00</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12.5175</w:t>
            </w:r>
          </w:p>
        </w:tc>
      </w:tr>
      <w:tr w:rsidR="006A4314" w:rsidRPr="00056171" w:rsidTr="00C95CE3">
        <w:trPr>
          <w:trHeight w:val="288"/>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MICH</w:t>
            </w:r>
          </w:p>
        </w:tc>
        <w:tc>
          <w:tcPr>
            <w:tcW w:w="1170" w:type="dxa"/>
            <w:tcBorders>
              <w:top w:val="single" w:sz="4" w:space="0" w:color="auto"/>
              <w:left w:val="nil"/>
              <w:bottom w:val="single" w:sz="4" w:space="0" w:color="auto"/>
              <w:right w:val="single" w:sz="4" w:space="0" w:color="auto"/>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MICH101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0.216</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6A4314" w:rsidRPr="006A4314" w:rsidRDefault="006A4314">
            <w:pPr>
              <w:jc w:val="center"/>
              <w:rPr>
                <w:rFonts w:ascii="Arial" w:hAnsi="Arial" w:cs="Arial"/>
                <w:color w:val="008000"/>
                <w:sz w:val="16"/>
                <w:szCs w:val="16"/>
              </w:rPr>
            </w:pPr>
            <w:r w:rsidRPr="006A4314">
              <w:rPr>
                <w:rFonts w:ascii="Arial" w:hAnsi="Arial" w:cs="Arial"/>
                <w:color w:val="008000"/>
                <w:sz w:val="16"/>
                <w:szCs w:val="16"/>
              </w:rPr>
              <w:t>5.00</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9.0126</w:t>
            </w:r>
          </w:p>
        </w:tc>
      </w:tr>
      <w:tr w:rsidR="006A4314" w:rsidRPr="00056171" w:rsidTr="00BE6183">
        <w:trPr>
          <w:trHeight w:val="288"/>
          <w:jc w:val="center"/>
        </w:trPr>
        <w:tc>
          <w:tcPr>
            <w:tcW w:w="1085" w:type="dxa"/>
            <w:tcBorders>
              <w:top w:val="nil"/>
              <w:left w:val="single" w:sz="4" w:space="0" w:color="auto"/>
              <w:bottom w:val="single" w:sz="4" w:space="0" w:color="auto"/>
              <w:right w:val="single" w:sz="4" w:space="0" w:color="auto"/>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PPSS</w:t>
            </w:r>
          </w:p>
        </w:tc>
        <w:tc>
          <w:tcPr>
            <w:tcW w:w="1170" w:type="dxa"/>
            <w:tcBorders>
              <w:top w:val="nil"/>
              <w:left w:val="nil"/>
              <w:bottom w:val="single" w:sz="4" w:space="0" w:color="auto"/>
              <w:right w:val="single" w:sz="4" w:space="0" w:color="auto"/>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PPSS001</w:t>
            </w:r>
          </w:p>
        </w:tc>
        <w:tc>
          <w:tcPr>
            <w:tcW w:w="1260" w:type="dxa"/>
            <w:tcBorders>
              <w:top w:val="nil"/>
              <w:left w:val="nil"/>
              <w:bottom w:val="single" w:sz="4" w:space="0" w:color="auto"/>
              <w:right w:val="single" w:sz="4" w:space="0" w:color="auto"/>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0.266881</w:t>
            </w:r>
          </w:p>
        </w:tc>
        <w:tc>
          <w:tcPr>
            <w:tcW w:w="2340" w:type="dxa"/>
            <w:tcBorders>
              <w:top w:val="nil"/>
              <w:left w:val="nil"/>
              <w:bottom w:val="single" w:sz="4" w:space="0" w:color="auto"/>
              <w:right w:val="single" w:sz="4" w:space="0" w:color="auto"/>
            </w:tcBorders>
            <w:shd w:val="clear" w:color="auto" w:fill="auto"/>
            <w:noWrap/>
            <w:vAlign w:val="bottom"/>
          </w:tcPr>
          <w:p w:rsidR="006A4314" w:rsidRPr="006A4314" w:rsidRDefault="006A4314">
            <w:pPr>
              <w:jc w:val="center"/>
              <w:rPr>
                <w:rFonts w:ascii="Arial" w:hAnsi="Arial" w:cs="Arial"/>
                <w:color w:val="008000"/>
                <w:sz w:val="16"/>
                <w:szCs w:val="16"/>
              </w:rPr>
            </w:pPr>
            <w:r w:rsidRPr="006A4314">
              <w:rPr>
                <w:rFonts w:ascii="Arial" w:hAnsi="Arial" w:cs="Arial"/>
                <w:color w:val="008000"/>
                <w:sz w:val="16"/>
                <w:szCs w:val="16"/>
              </w:rPr>
              <w:t>5.00</w:t>
            </w:r>
          </w:p>
        </w:tc>
        <w:tc>
          <w:tcPr>
            <w:tcW w:w="2520" w:type="dxa"/>
            <w:tcBorders>
              <w:top w:val="nil"/>
              <w:left w:val="nil"/>
              <w:bottom w:val="single" w:sz="4" w:space="0" w:color="auto"/>
              <w:right w:val="single" w:sz="4" w:space="0" w:color="auto"/>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11.13560973</w:t>
            </w:r>
          </w:p>
        </w:tc>
      </w:tr>
      <w:tr w:rsidR="006A4314" w:rsidRPr="00056171" w:rsidTr="00BE6183">
        <w:trPr>
          <w:trHeight w:val="288"/>
          <w:jc w:val="center"/>
        </w:trPr>
        <w:tc>
          <w:tcPr>
            <w:tcW w:w="1085" w:type="dxa"/>
            <w:tcBorders>
              <w:top w:val="nil"/>
              <w:left w:val="single" w:sz="4" w:space="0" w:color="auto"/>
              <w:bottom w:val="single" w:sz="12" w:space="0" w:color="auto"/>
              <w:right w:val="single" w:sz="4" w:space="0" w:color="auto"/>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TLVS</w:t>
            </w:r>
          </w:p>
        </w:tc>
        <w:tc>
          <w:tcPr>
            <w:tcW w:w="1170" w:type="dxa"/>
            <w:tcBorders>
              <w:top w:val="nil"/>
              <w:left w:val="nil"/>
              <w:bottom w:val="single" w:sz="12" w:space="0" w:color="auto"/>
              <w:right w:val="single" w:sz="4" w:space="0" w:color="auto"/>
            </w:tcBorders>
            <w:shd w:val="clear" w:color="auto" w:fill="auto"/>
            <w:vAlign w:val="center"/>
          </w:tcPr>
          <w:p w:rsidR="006A4314" w:rsidRPr="00056171" w:rsidRDefault="006A4314">
            <w:pPr>
              <w:rPr>
                <w:rFonts w:ascii="Arial" w:hAnsi="Arial" w:cs="Arial"/>
                <w:color w:val="000000"/>
                <w:sz w:val="16"/>
                <w:szCs w:val="16"/>
              </w:rPr>
            </w:pPr>
            <w:r w:rsidRPr="00056171">
              <w:rPr>
                <w:rFonts w:ascii="Arial" w:hAnsi="Arial" w:cs="Arial"/>
                <w:color w:val="000000"/>
                <w:sz w:val="16"/>
                <w:szCs w:val="16"/>
              </w:rPr>
              <w:t>TLVS201</w:t>
            </w:r>
          </w:p>
        </w:tc>
        <w:tc>
          <w:tcPr>
            <w:tcW w:w="1260" w:type="dxa"/>
            <w:tcBorders>
              <w:top w:val="nil"/>
              <w:left w:val="nil"/>
              <w:bottom w:val="single" w:sz="12" w:space="0" w:color="auto"/>
              <w:right w:val="single" w:sz="4" w:space="0" w:color="auto"/>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0.18</w:t>
            </w:r>
          </w:p>
        </w:tc>
        <w:tc>
          <w:tcPr>
            <w:tcW w:w="2340" w:type="dxa"/>
            <w:tcBorders>
              <w:top w:val="nil"/>
              <w:left w:val="nil"/>
              <w:bottom w:val="single" w:sz="12" w:space="0" w:color="auto"/>
              <w:right w:val="single" w:sz="4" w:space="0" w:color="auto"/>
            </w:tcBorders>
            <w:shd w:val="clear" w:color="auto" w:fill="auto"/>
            <w:noWrap/>
            <w:vAlign w:val="bottom"/>
          </w:tcPr>
          <w:p w:rsidR="006A4314" w:rsidRPr="006A4314" w:rsidRDefault="006A4314">
            <w:pPr>
              <w:jc w:val="center"/>
              <w:rPr>
                <w:rFonts w:ascii="Arial" w:hAnsi="Arial" w:cs="Arial"/>
                <w:color w:val="008000"/>
                <w:sz w:val="16"/>
                <w:szCs w:val="16"/>
              </w:rPr>
            </w:pPr>
            <w:r w:rsidRPr="006A4314">
              <w:rPr>
                <w:rFonts w:ascii="Arial" w:hAnsi="Arial" w:cs="Arial"/>
                <w:color w:val="008000"/>
                <w:sz w:val="16"/>
                <w:szCs w:val="16"/>
              </w:rPr>
              <w:t>5.00</w:t>
            </w:r>
          </w:p>
        </w:tc>
        <w:tc>
          <w:tcPr>
            <w:tcW w:w="2520" w:type="dxa"/>
            <w:tcBorders>
              <w:top w:val="nil"/>
              <w:left w:val="nil"/>
              <w:bottom w:val="single" w:sz="12" w:space="0" w:color="auto"/>
              <w:right w:val="single" w:sz="4" w:space="0" w:color="auto"/>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7.5105</w:t>
            </w:r>
          </w:p>
        </w:tc>
      </w:tr>
      <w:tr w:rsidR="006A4314" w:rsidRPr="00056171" w:rsidTr="00356CC0">
        <w:trPr>
          <w:trHeight w:val="288"/>
          <w:jc w:val="center"/>
        </w:trPr>
        <w:tc>
          <w:tcPr>
            <w:tcW w:w="1085"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1170"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1260"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2340" w:type="dxa"/>
            <w:tcBorders>
              <w:top w:val="nil"/>
              <w:left w:val="nil"/>
              <w:bottom w:val="nil"/>
              <w:right w:val="nil"/>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Total Allocation (lb/day):</w:t>
            </w:r>
          </w:p>
        </w:tc>
        <w:tc>
          <w:tcPr>
            <w:tcW w:w="2520" w:type="dxa"/>
            <w:tcBorders>
              <w:top w:val="nil"/>
              <w:left w:val="nil"/>
              <w:bottom w:val="nil"/>
              <w:right w:val="nil"/>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1435.325051</w:t>
            </w:r>
          </w:p>
        </w:tc>
      </w:tr>
      <w:tr w:rsidR="006A4314" w:rsidRPr="00056171" w:rsidTr="00356CC0">
        <w:trPr>
          <w:trHeight w:val="288"/>
          <w:jc w:val="center"/>
        </w:trPr>
        <w:tc>
          <w:tcPr>
            <w:tcW w:w="1085"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1170"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1260"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2340" w:type="dxa"/>
            <w:tcBorders>
              <w:top w:val="nil"/>
              <w:left w:val="nil"/>
              <w:bottom w:val="nil"/>
              <w:right w:val="nil"/>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MAIL (lb/day):</w:t>
            </w:r>
          </w:p>
        </w:tc>
        <w:tc>
          <w:tcPr>
            <w:tcW w:w="2520" w:type="dxa"/>
            <w:tcBorders>
              <w:top w:val="nil"/>
              <w:left w:val="nil"/>
              <w:bottom w:val="nil"/>
              <w:right w:val="nil"/>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2990.91</w:t>
            </w:r>
          </w:p>
        </w:tc>
      </w:tr>
      <w:tr w:rsidR="006A4314" w:rsidRPr="00056171" w:rsidTr="00356CC0">
        <w:trPr>
          <w:trHeight w:val="288"/>
          <w:jc w:val="center"/>
        </w:trPr>
        <w:tc>
          <w:tcPr>
            <w:tcW w:w="1085"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1170"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1260"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2340" w:type="dxa"/>
            <w:tcBorders>
              <w:top w:val="nil"/>
              <w:left w:val="nil"/>
              <w:bottom w:val="nil"/>
              <w:right w:val="nil"/>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 of MAIL Allocated:</w:t>
            </w:r>
          </w:p>
        </w:tc>
        <w:tc>
          <w:tcPr>
            <w:tcW w:w="2520" w:type="dxa"/>
            <w:tcBorders>
              <w:top w:val="nil"/>
              <w:left w:val="nil"/>
              <w:bottom w:val="nil"/>
              <w:right w:val="nil"/>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47.99%</w:t>
            </w:r>
          </w:p>
        </w:tc>
      </w:tr>
      <w:tr w:rsidR="006A4314" w:rsidRPr="00056171" w:rsidTr="00356CC0">
        <w:trPr>
          <w:trHeight w:val="288"/>
          <w:jc w:val="center"/>
        </w:trPr>
        <w:tc>
          <w:tcPr>
            <w:tcW w:w="1085"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1170"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1260" w:type="dxa"/>
            <w:tcBorders>
              <w:top w:val="nil"/>
              <w:left w:val="nil"/>
              <w:bottom w:val="nil"/>
              <w:right w:val="nil"/>
            </w:tcBorders>
            <w:shd w:val="clear" w:color="auto" w:fill="auto"/>
            <w:noWrap/>
            <w:vAlign w:val="center"/>
          </w:tcPr>
          <w:p w:rsidR="006A4314" w:rsidRPr="00056171" w:rsidRDefault="006A4314">
            <w:pPr>
              <w:rPr>
                <w:rFonts w:ascii="Arial" w:hAnsi="Arial" w:cs="Arial"/>
                <w:sz w:val="16"/>
                <w:szCs w:val="16"/>
              </w:rPr>
            </w:pPr>
          </w:p>
        </w:tc>
        <w:tc>
          <w:tcPr>
            <w:tcW w:w="2340" w:type="dxa"/>
            <w:tcBorders>
              <w:top w:val="nil"/>
              <w:left w:val="nil"/>
              <w:bottom w:val="nil"/>
              <w:right w:val="nil"/>
            </w:tcBorders>
            <w:shd w:val="clear" w:color="auto" w:fill="auto"/>
            <w:noWrap/>
            <w:vAlign w:val="center"/>
          </w:tcPr>
          <w:p w:rsidR="006A4314" w:rsidRPr="00056171" w:rsidRDefault="006A4314">
            <w:pPr>
              <w:jc w:val="right"/>
              <w:rPr>
                <w:rFonts w:ascii="Arial" w:hAnsi="Arial" w:cs="Arial"/>
                <w:sz w:val="16"/>
                <w:szCs w:val="16"/>
              </w:rPr>
            </w:pPr>
            <w:r w:rsidRPr="00056171">
              <w:rPr>
                <w:rFonts w:ascii="Arial" w:hAnsi="Arial" w:cs="Arial"/>
                <w:sz w:val="16"/>
                <w:szCs w:val="16"/>
              </w:rPr>
              <w:t>% of MAIL Reserved:</w:t>
            </w:r>
          </w:p>
        </w:tc>
        <w:tc>
          <w:tcPr>
            <w:tcW w:w="2520" w:type="dxa"/>
            <w:tcBorders>
              <w:top w:val="nil"/>
              <w:left w:val="nil"/>
              <w:bottom w:val="nil"/>
              <w:right w:val="nil"/>
            </w:tcBorders>
            <w:shd w:val="clear" w:color="auto" w:fill="auto"/>
            <w:noWrap/>
            <w:vAlign w:val="bottom"/>
          </w:tcPr>
          <w:p w:rsidR="006A4314" w:rsidRPr="006A4314" w:rsidRDefault="006A4314">
            <w:pPr>
              <w:jc w:val="center"/>
              <w:rPr>
                <w:rFonts w:ascii="Arial" w:hAnsi="Arial" w:cs="Arial"/>
                <w:sz w:val="16"/>
                <w:szCs w:val="16"/>
              </w:rPr>
            </w:pPr>
            <w:r w:rsidRPr="006A4314">
              <w:rPr>
                <w:rFonts w:ascii="Arial" w:hAnsi="Arial" w:cs="Arial"/>
                <w:sz w:val="16"/>
                <w:szCs w:val="16"/>
              </w:rPr>
              <w:t>52.01%</w:t>
            </w:r>
          </w:p>
        </w:tc>
      </w:tr>
      <w:tr w:rsidR="006A4314" w:rsidRPr="00056171" w:rsidTr="0023591F">
        <w:trPr>
          <w:trHeight w:val="199"/>
          <w:jc w:val="center"/>
        </w:trPr>
        <w:tc>
          <w:tcPr>
            <w:tcW w:w="1085" w:type="dxa"/>
            <w:tcBorders>
              <w:top w:val="nil"/>
              <w:left w:val="nil"/>
              <w:bottom w:val="nil"/>
              <w:right w:val="nil"/>
            </w:tcBorders>
            <w:shd w:val="clear" w:color="auto" w:fill="auto"/>
            <w:noWrap/>
            <w:vAlign w:val="bottom"/>
          </w:tcPr>
          <w:p w:rsidR="006A4314" w:rsidRPr="00056171" w:rsidRDefault="006A4314">
            <w:pPr>
              <w:rPr>
                <w:sz w:val="14"/>
                <w:szCs w:val="14"/>
              </w:rPr>
            </w:pPr>
          </w:p>
        </w:tc>
        <w:tc>
          <w:tcPr>
            <w:tcW w:w="1170" w:type="dxa"/>
            <w:tcBorders>
              <w:top w:val="nil"/>
              <w:left w:val="nil"/>
              <w:bottom w:val="nil"/>
              <w:right w:val="nil"/>
            </w:tcBorders>
            <w:shd w:val="clear" w:color="auto" w:fill="auto"/>
            <w:noWrap/>
            <w:vAlign w:val="bottom"/>
          </w:tcPr>
          <w:p w:rsidR="006A4314" w:rsidRPr="00056171" w:rsidRDefault="006A4314">
            <w:pPr>
              <w:rPr>
                <w:sz w:val="14"/>
                <w:szCs w:val="14"/>
              </w:rPr>
            </w:pPr>
          </w:p>
        </w:tc>
        <w:tc>
          <w:tcPr>
            <w:tcW w:w="1260" w:type="dxa"/>
            <w:tcBorders>
              <w:top w:val="nil"/>
              <w:left w:val="nil"/>
              <w:bottom w:val="nil"/>
              <w:right w:val="nil"/>
            </w:tcBorders>
            <w:shd w:val="clear" w:color="auto" w:fill="auto"/>
            <w:noWrap/>
            <w:vAlign w:val="bottom"/>
          </w:tcPr>
          <w:p w:rsidR="006A4314" w:rsidRPr="00056171" w:rsidRDefault="006A4314">
            <w:pPr>
              <w:rPr>
                <w:sz w:val="14"/>
                <w:szCs w:val="14"/>
              </w:rPr>
            </w:pPr>
          </w:p>
        </w:tc>
        <w:tc>
          <w:tcPr>
            <w:tcW w:w="2340" w:type="dxa"/>
            <w:tcBorders>
              <w:top w:val="nil"/>
              <w:left w:val="nil"/>
              <w:bottom w:val="nil"/>
              <w:right w:val="nil"/>
            </w:tcBorders>
            <w:shd w:val="clear" w:color="auto" w:fill="auto"/>
            <w:noWrap/>
            <w:vAlign w:val="bottom"/>
          </w:tcPr>
          <w:p w:rsidR="006A4314" w:rsidRPr="00056171" w:rsidRDefault="006A4314">
            <w:pPr>
              <w:rPr>
                <w:sz w:val="14"/>
                <w:szCs w:val="14"/>
              </w:rPr>
            </w:pPr>
          </w:p>
        </w:tc>
        <w:tc>
          <w:tcPr>
            <w:tcW w:w="2520" w:type="dxa"/>
            <w:tcBorders>
              <w:top w:val="nil"/>
              <w:left w:val="nil"/>
              <w:bottom w:val="nil"/>
              <w:right w:val="nil"/>
            </w:tcBorders>
            <w:shd w:val="clear" w:color="auto" w:fill="auto"/>
            <w:noWrap/>
            <w:vAlign w:val="bottom"/>
          </w:tcPr>
          <w:p w:rsidR="006A4314" w:rsidRPr="00056171" w:rsidRDefault="006A4314">
            <w:pPr>
              <w:rPr>
                <w:sz w:val="14"/>
                <w:szCs w:val="14"/>
              </w:rPr>
            </w:pPr>
          </w:p>
        </w:tc>
      </w:tr>
    </w:tbl>
    <w:p w:rsidR="00397DD3" w:rsidRPr="00056171" w:rsidRDefault="002B4B38" w:rsidP="007316A6">
      <w:pPr>
        <w:rPr>
          <w:rFonts w:ascii="Arial" w:hAnsi="Arial" w:cs="Arial"/>
        </w:rPr>
      </w:pPr>
      <w:r w:rsidRPr="00056171">
        <w:rPr>
          <w:rFonts w:ascii="Arial" w:hAnsi="Arial" w:cs="Arial"/>
        </w:rPr>
        <w:t xml:space="preserve">An industry’s flow </w:t>
      </w:r>
      <w:r w:rsidR="001C2AAC" w:rsidRPr="00056171">
        <w:rPr>
          <w:rFonts w:ascii="Arial" w:hAnsi="Arial" w:cs="Arial"/>
        </w:rPr>
        <w:t>is</w:t>
      </w:r>
      <w:r w:rsidRPr="00056171">
        <w:rPr>
          <w:rFonts w:ascii="Arial" w:hAnsi="Arial" w:cs="Arial"/>
        </w:rPr>
        <w:t xml:space="preserve"> updated annually in the spreadsheet.  The flows are taken from a user</w:t>
      </w:r>
      <w:r w:rsidR="007752F2" w:rsidRPr="00056171">
        <w:rPr>
          <w:rFonts w:ascii="Arial" w:hAnsi="Arial" w:cs="Arial"/>
        </w:rPr>
        <w:t>’</w:t>
      </w:r>
      <w:r w:rsidRPr="00056171">
        <w:rPr>
          <w:rFonts w:ascii="Arial" w:hAnsi="Arial" w:cs="Arial"/>
        </w:rPr>
        <w:t>s Continued Compliance Report o</w:t>
      </w:r>
      <w:r w:rsidR="001C2AAC" w:rsidRPr="00056171">
        <w:rPr>
          <w:rFonts w:ascii="Arial" w:hAnsi="Arial" w:cs="Arial"/>
        </w:rPr>
        <w:t>r</w:t>
      </w:r>
      <w:r w:rsidRPr="00056171">
        <w:rPr>
          <w:rFonts w:ascii="Arial" w:hAnsi="Arial" w:cs="Arial"/>
        </w:rPr>
        <w:t xml:space="preserve"> Semi-Annual Evaluation Report.</w:t>
      </w:r>
    </w:p>
    <w:p w:rsidR="00C34919" w:rsidRPr="00056171" w:rsidRDefault="00C34919" w:rsidP="007316A6">
      <w:pPr>
        <w:rPr>
          <w:rFonts w:ascii="Arial" w:hAnsi="Arial" w:cs="Arial"/>
        </w:rPr>
      </w:pPr>
    </w:p>
    <w:p w:rsidR="004F63FB" w:rsidRPr="00056171" w:rsidRDefault="00502782" w:rsidP="007316A6">
      <w:pPr>
        <w:rPr>
          <w:rFonts w:ascii="Arial" w:hAnsi="Arial" w:cs="Arial"/>
          <w:sz w:val="28"/>
          <w:szCs w:val="28"/>
        </w:rPr>
      </w:pPr>
      <w:r w:rsidRPr="00056171">
        <w:rPr>
          <w:sz w:val="32"/>
          <w:szCs w:val="32"/>
        </w:rPr>
        <w:t>I</w:t>
      </w:r>
      <w:r w:rsidR="000C3AB9" w:rsidRPr="00056171">
        <w:rPr>
          <w:sz w:val="32"/>
          <w:szCs w:val="32"/>
        </w:rPr>
        <w:t>V</w:t>
      </w:r>
      <w:r w:rsidR="004F63FB" w:rsidRPr="00056171">
        <w:rPr>
          <w:rFonts w:ascii="Arial" w:hAnsi="Arial" w:cs="Arial"/>
          <w:sz w:val="28"/>
          <w:szCs w:val="28"/>
        </w:rPr>
        <w:t xml:space="preserve">. </w:t>
      </w:r>
      <w:r w:rsidR="000C3AB9" w:rsidRPr="00056171">
        <w:rPr>
          <w:rFonts w:ascii="Arial" w:hAnsi="Arial" w:cs="Arial"/>
          <w:sz w:val="28"/>
          <w:szCs w:val="28"/>
        </w:rPr>
        <w:t xml:space="preserve"> </w:t>
      </w:r>
      <w:r w:rsidR="004F63FB" w:rsidRPr="00056171">
        <w:rPr>
          <w:rFonts w:ascii="Arial" w:hAnsi="Arial" w:cs="Arial"/>
          <w:sz w:val="28"/>
          <w:szCs w:val="28"/>
        </w:rPr>
        <w:t>Limits for Industrial Dischargers</w:t>
      </w:r>
    </w:p>
    <w:p w:rsidR="004F63FB" w:rsidRPr="00056171" w:rsidRDefault="004F63FB" w:rsidP="007316A6">
      <w:pPr>
        <w:rPr>
          <w:rFonts w:ascii="Arial" w:hAnsi="Arial" w:cs="Arial"/>
        </w:rPr>
      </w:pPr>
    </w:p>
    <w:p w:rsidR="00485B87" w:rsidRPr="00056171" w:rsidRDefault="00CF0437" w:rsidP="007316A6">
      <w:pPr>
        <w:rPr>
          <w:rFonts w:ascii="Arial" w:hAnsi="Arial" w:cs="Arial"/>
        </w:rPr>
      </w:pPr>
      <w:r w:rsidRPr="00056171">
        <w:rPr>
          <w:rFonts w:ascii="Arial" w:hAnsi="Arial" w:cs="Arial"/>
        </w:rPr>
        <w:t xml:space="preserve">MCWMS </w:t>
      </w:r>
      <w:r w:rsidR="008C07D1" w:rsidRPr="00056171">
        <w:rPr>
          <w:rFonts w:ascii="Arial" w:hAnsi="Arial" w:cs="Arial"/>
        </w:rPr>
        <w:t>establishes</w:t>
      </w:r>
      <w:r w:rsidRPr="00056171">
        <w:rPr>
          <w:rFonts w:ascii="Arial" w:hAnsi="Arial" w:cs="Arial"/>
        </w:rPr>
        <w:t xml:space="preserve"> the following local limits for </w:t>
      </w:r>
      <w:r w:rsidR="009B4EA0" w:rsidRPr="00056171">
        <w:rPr>
          <w:rFonts w:ascii="Arial" w:hAnsi="Arial" w:cs="Arial"/>
        </w:rPr>
        <w:t>industries</w:t>
      </w:r>
      <w:r w:rsidR="008C07D1" w:rsidRPr="00056171">
        <w:rPr>
          <w:rFonts w:ascii="Arial" w:hAnsi="Arial" w:cs="Arial"/>
        </w:rPr>
        <w:t>.</w:t>
      </w:r>
    </w:p>
    <w:p w:rsidR="00485B87" w:rsidRPr="00056171" w:rsidRDefault="00485B87" w:rsidP="007316A6">
      <w:pPr>
        <w:rPr>
          <w:rFonts w:ascii="Arial" w:hAnsi="Arial" w:cs="Arial"/>
        </w:rPr>
      </w:pPr>
    </w:p>
    <w:p w:rsidR="00C34919" w:rsidRPr="00056171" w:rsidRDefault="00C34919" w:rsidP="007316A6">
      <w:pPr>
        <w:rPr>
          <w:rFonts w:ascii="Arial" w:hAnsi="Arial" w:cs="Arial"/>
        </w:rPr>
      </w:pPr>
    </w:p>
    <w:p w:rsidR="00485B87" w:rsidRPr="00056171" w:rsidRDefault="0023591F" w:rsidP="00485B87">
      <w:pPr>
        <w:jc w:val="center"/>
        <w:rPr>
          <w:rFonts w:ascii="Arial" w:hAnsi="Arial" w:cs="Arial"/>
          <w:b/>
        </w:rPr>
      </w:pPr>
      <w:r w:rsidRPr="00056171">
        <w:rPr>
          <w:rFonts w:ascii="Arial" w:hAnsi="Arial" w:cs="Arial"/>
          <w:b/>
        </w:rPr>
        <w:t xml:space="preserve">TABLE 2:  </w:t>
      </w:r>
      <w:r w:rsidR="00485B87" w:rsidRPr="00056171">
        <w:rPr>
          <w:rFonts w:ascii="Arial" w:hAnsi="Arial" w:cs="Arial"/>
          <w:b/>
        </w:rPr>
        <w:t>Local Limits for Industries</w:t>
      </w:r>
      <w:r w:rsidR="00422354" w:rsidRPr="00056171">
        <w:rPr>
          <w:rFonts w:ascii="Arial" w:hAnsi="Arial" w:cs="Arial"/>
          <w:b/>
        </w:rPr>
        <w:t xml:space="preserve"> Discharging to the Collection System</w:t>
      </w:r>
    </w:p>
    <w:tbl>
      <w:tblPr>
        <w:tblW w:w="8854" w:type="dxa"/>
        <w:jc w:val="center"/>
        <w:tblLook w:val="0000" w:firstRow="0" w:lastRow="0" w:firstColumn="0" w:lastColumn="0" w:noHBand="0" w:noVBand="0"/>
      </w:tblPr>
      <w:tblGrid>
        <w:gridCol w:w="2576"/>
        <w:gridCol w:w="1137"/>
        <w:gridCol w:w="1137"/>
        <w:gridCol w:w="2039"/>
        <w:gridCol w:w="1965"/>
      </w:tblGrid>
      <w:tr w:rsidR="00BA2D9B" w:rsidRPr="00056171" w:rsidTr="000663A4">
        <w:trPr>
          <w:trHeight w:hRule="exact" w:val="937"/>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A2D9B" w:rsidRPr="00056171" w:rsidRDefault="00BA2D9B" w:rsidP="0014644A">
            <w:pPr>
              <w:rPr>
                <w:rFonts w:ascii="Arial" w:hAnsi="Arial" w:cs="Arial"/>
                <w:sz w:val="20"/>
                <w:szCs w:val="20"/>
              </w:rPr>
            </w:pPr>
            <w:r w:rsidRPr="00056171">
              <w:rPr>
                <w:rFonts w:ascii="Arial" w:hAnsi="Arial" w:cs="Arial"/>
                <w:sz w:val="20"/>
                <w:szCs w:val="20"/>
              </w:rPr>
              <w:t> </w:t>
            </w:r>
          </w:p>
          <w:p w:rsidR="0014644A" w:rsidRPr="00056171" w:rsidRDefault="0014644A" w:rsidP="0014644A">
            <w:pPr>
              <w:rPr>
                <w:rFonts w:ascii="Arial" w:hAnsi="Arial" w:cs="Arial"/>
                <w:sz w:val="20"/>
                <w:szCs w:val="20"/>
              </w:rPr>
            </w:pPr>
          </w:p>
          <w:p w:rsidR="00BA2D9B" w:rsidRPr="00056171" w:rsidRDefault="00BA2D9B" w:rsidP="0014644A">
            <w:pPr>
              <w:rPr>
                <w:rFonts w:ascii="Arial" w:hAnsi="Arial" w:cs="Arial"/>
                <w:sz w:val="20"/>
                <w:szCs w:val="20"/>
              </w:rPr>
            </w:pPr>
            <w:r w:rsidRPr="00056171">
              <w:rPr>
                <w:rFonts w:ascii="Arial" w:hAnsi="Arial" w:cs="Arial"/>
                <w:sz w:val="20"/>
                <w:szCs w:val="20"/>
              </w:rPr>
              <w:t>Pollutant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2D9B" w:rsidRPr="00056171" w:rsidRDefault="00BA2D9B" w:rsidP="0014644A">
            <w:pPr>
              <w:jc w:val="center"/>
              <w:rPr>
                <w:rFonts w:ascii="Arial" w:hAnsi="Arial" w:cs="Arial"/>
                <w:sz w:val="20"/>
                <w:szCs w:val="20"/>
              </w:rPr>
            </w:pPr>
            <w:r w:rsidRPr="00056171">
              <w:rPr>
                <w:rFonts w:ascii="Arial" w:hAnsi="Arial" w:cs="Arial"/>
                <w:sz w:val="20"/>
                <w:szCs w:val="20"/>
              </w:rPr>
              <w:t>Monthly Avg. Limit (mg/l)</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2D9B" w:rsidRPr="00056171" w:rsidRDefault="00BA2D9B" w:rsidP="0014644A">
            <w:pPr>
              <w:jc w:val="center"/>
              <w:rPr>
                <w:rFonts w:ascii="Arial" w:hAnsi="Arial" w:cs="Arial"/>
                <w:sz w:val="20"/>
                <w:szCs w:val="20"/>
              </w:rPr>
            </w:pPr>
            <w:r w:rsidRPr="00056171">
              <w:rPr>
                <w:rFonts w:ascii="Arial" w:hAnsi="Arial" w:cs="Arial"/>
                <w:sz w:val="20"/>
                <w:szCs w:val="20"/>
              </w:rPr>
              <w:t>Daily Max Limit (mg/l)</w:t>
            </w:r>
          </w:p>
        </w:tc>
        <w:tc>
          <w:tcPr>
            <w:tcW w:w="20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2D9B" w:rsidRPr="00056171" w:rsidRDefault="00753BEE" w:rsidP="0014644A">
            <w:pPr>
              <w:jc w:val="center"/>
              <w:rPr>
                <w:rFonts w:ascii="Arial" w:hAnsi="Arial" w:cs="Arial"/>
                <w:sz w:val="20"/>
                <w:szCs w:val="20"/>
              </w:rPr>
            </w:pPr>
            <w:r w:rsidRPr="00056171">
              <w:rPr>
                <w:rFonts w:ascii="Arial" w:hAnsi="Arial" w:cs="Arial"/>
                <w:sz w:val="20"/>
                <w:szCs w:val="20"/>
              </w:rPr>
              <w:t xml:space="preserve">Monthly Avg. Limit </w:t>
            </w:r>
            <w:r w:rsidR="0014644A" w:rsidRPr="00056171">
              <w:rPr>
                <w:rFonts w:ascii="Arial" w:hAnsi="Arial" w:cs="Arial"/>
                <w:sz w:val="20"/>
                <w:szCs w:val="20"/>
              </w:rPr>
              <w:t>(</w:t>
            </w:r>
            <w:r w:rsidR="00BA2D9B" w:rsidRPr="00056171">
              <w:rPr>
                <w:rFonts w:ascii="Arial" w:hAnsi="Arial" w:cs="Arial"/>
                <w:sz w:val="20"/>
                <w:szCs w:val="20"/>
              </w:rPr>
              <w:t>mg/l)</w:t>
            </w:r>
            <w:r w:rsidR="00C7654F" w:rsidRPr="00056171">
              <w:rPr>
                <w:rFonts w:ascii="Arial" w:hAnsi="Arial" w:cs="Arial"/>
                <w:sz w:val="20"/>
                <w:szCs w:val="20"/>
              </w:rPr>
              <w:t xml:space="preserve"> Applicable to Groundwater Remediation Sites</w:t>
            </w:r>
          </w:p>
        </w:tc>
        <w:tc>
          <w:tcPr>
            <w:tcW w:w="1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2D9B" w:rsidRPr="00056171" w:rsidRDefault="00BA2D9B" w:rsidP="0014644A">
            <w:pPr>
              <w:jc w:val="center"/>
              <w:rPr>
                <w:rFonts w:ascii="Arial" w:hAnsi="Arial" w:cs="Arial"/>
                <w:sz w:val="20"/>
                <w:szCs w:val="20"/>
              </w:rPr>
            </w:pPr>
            <w:r w:rsidRPr="00056171">
              <w:rPr>
                <w:rFonts w:ascii="Arial" w:hAnsi="Arial" w:cs="Arial"/>
                <w:sz w:val="20"/>
                <w:szCs w:val="20"/>
              </w:rPr>
              <w:t>Daily Max Limit (mg/l)</w:t>
            </w:r>
            <w:r w:rsidR="00C7654F" w:rsidRPr="00056171">
              <w:rPr>
                <w:rFonts w:ascii="Arial" w:hAnsi="Arial" w:cs="Arial"/>
                <w:sz w:val="20"/>
                <w:szCs w:val="20"/>
              </w:rPr>
              <w:t xml:space="preserve"> Applicable to Groundwater Remediation Sites</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BOD</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300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50.0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NA</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TSS</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500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100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NA</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Phosphorus</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18.0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2D9B" w:rsidRPr="00056171" w:rsidRDefault="00BA2D9B" w:rsidP="000C3C6A">
            <w:pPr>
              <w:jc w:val="center"/>
              <w:rPr>
                <w:rFonts w:ascii="Arial" w:hAnsi="Arial" w:cs="Arial"/>
                <w:sz w:val="20"/>
                <w:szCs w:val="20"/>
              </w:rPr>
            </w:pPr>
            <w:r w:rsidRPr="00056171">
              <w:rPr>
                <w:rFonts w:ascii="Arial" w:hAnsi="Arial" w:cs="Arial"/>
                <w:sz w:val="20"/>
                <w:szCs w:val="20"/>
              </w:rPr>
              <w:t>5.00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NA</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Cadmium</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3B7EA2" w:rsidP="000C3C6A">
            <w:pPr>
              <w:jc w:val="center"/>
              <w:rPr>
                <w:rFonts w:ascii="Arial" w:hAnsi="Arial" w:cs="Arial"/>
                <w:sz w:val="20"/>
                <w:szCs w:val="20"/>
              </w:rPr>
            </w:pPr>
            <w:r w:rsidRPr="00056171">
              <w:rPr>
                <w:rFonts w:ascii="Arial" w:hAnsi="Arial" w:cs="Arial"/>
                <w:sz w:val="20"/>
                <w:szCs w:val="20"/>
              </w:rPr>
              <w:t>0.250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3B7EA2" w:rsidP="000C3C6A">
            <w:pPr>
              <w:jc w:val="center"/>
              <w:rPr>
                <w:rFonts w:ascii="Arial" w:hAnsi="Arial" w:cs="Arial"/>
                <w:sz w:val="20"/>
                <w:szCs w:val="20"/>
              </w:rPr>
            </w:pPr>
            <w:r w:rsidRPr="00056171">
              <w:rPr>
                <w:rFonts w:ascii="Arial" w:hAnsi="Arial" w:cs="Arial"/>
                <w:sz w:val="20"/>
                <w:szCs w:val="20"/>
              </w:rPr>
              <w:t>0.500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0.0500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w:t>
            </w:r>
            <w:r w:rsidR="00A66ED0" w:rsidRPr="00056171">
              <w:rPr>
                <w:rFonts w:ascii="Arial" w:hAnsi="Arial" w:cs="Arial"/>
                <w:sz w:val="20"/>
                <w:szCs w:val="20"/>
              </w:rPr>
              <w:t>1</w:t>
            </w:r>
            <w:r w:rsidRPr="00056171">
              <w:rPr>
                <w:rFonts w:ascii="Arial" w:hAnsi="Arial" w:cs="Arial"/>
                <w:sz w:val="20"/>
                <w:szCs w:val="20"/>
              </w:rPr>
              <w:t>00</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Chromium</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8.00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8B19A9" w:rsidP="000C3C6A">
            <w:pPr>
              <w:jc w:val="center"/>
              <w:rPr>
                <w:rFonts w:ascii="Arial" w:hAnsi="Arial" w:cs="Arial"/>
                <w:sz w:val="20"/>
                <w:szCs w:val="20"/>
              </w:rPr>
            </w:pPr>
            <w:r w:rsidRPr="00056171">
              <w:rPr>
                <w:rFonts w:ascii="Arial" w:hAnsi="Arial" w:cs="Arial"/>
                <w:sz w:val="20"/>
                <w:szCs w:val="20"/>
              </w:rPr>
              <w:t>3</w:t>
            </w:r>
            <w:r w:rsidR="00F66385" w:rsidRPr="00056171">
              <w:rPr>
                <w:rFonts w:ascii="Arial" w:hAnsi="Arial" w:cs="Arial"/>
                <w:sz w:val="20"/>
                <w:szCs w:val="20"/>
              </w:rPr>
              <w:t>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0.100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w:t>
            </w:r>
            <w:r w:rsidR="00BB3C01" w:rsidRPr="00056171">
              <w:rPr>
                <w:rFonts w:ascii="Arial" w:hAnsi="Arial" w:cs="Arial"/>
                <w:sz w:val="20"/>
                <w:szCs w:val="20"/>
              </w:rPr>
              <w:t>3</w:t>
            </w:r>
            <w:r w:rsidRPr="00056171">
              <w:rPr>
                <w:rFonts w:ascii="Arial" w:hAnsi="Arial" w:cs="Arial"/>
                <w:sz w:val="20"/>
                <w:szCs w:val="20"/>
              </w:rPr>
              <w:t>00</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Copper</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1.50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BB3C01" w:rsidP="000C3C6A">
            <w:pPr>
              <w:jc w:val="center"/>
              <w:rPr>
                <w:rFonts w:ascii="Arial" w:hAnsi="Arial" w:cs="Arial"/>
                <w:sz w:val="20"/>
                <w:szCs w:val="20"/>
              </w:rPr>
            </w:pPr>
            <w:r w:rsidRPr="00056171">
              <w:rPr>
                <w:rFonts w:ascii="Arial" w:hAnsi="Arial" w:cs="Arial"/>
                <w:sz w:val="20"/>
                <w:szCs w:val="20"/>
              </w:rPr>
              <w:t>0.0500</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Lead</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0.4</w:t>
            </w:r>
            <w:r w:rsidR="008B19A9" w:rsidRPr="00056171">
              <w:rPr>
                <w:rFonts w:ascii="Arial" w:hAnsi="Arial" w:cs="Arial"/>
                <w:sz w:val="20"/>
                <w:szCs w:val="20"/>
              </w:rPr>
              <w:t>75</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0.750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0.0500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w:t>
            </w:r>
            <w:r w:rsidR="00BB3C01" w:rsidRPr="00056171">
              <w:rPr>
                <w:rFonts w:ascii="Arial" w:hAnsi="Arial" w:cs="Arial"/>
                <w:sz w:val="20"/>
                <w:szCs w:val="20"/>
              </w:rPr>
              <w:t>1</w:t>
            </w:r>
            <w:r w:rsidRPr="00056171">
              <w:rPr>
                <w:rFonts w:ascii="Arial" w:hAnsi="Arial" w:cs="Arial"/>
                <w:sz w:val="20"/>
                <w:szCs w:val="20"/>
              </w:rPr>
              <w:t>00</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 xml:space="preserve">Nickel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3.</w:t>
            </w:r>
            <w:r w:rsidR="008B19A9" w:rsidRPr="00056171">
              <w:rPr>
                <w:rFonts w:ascii="Arial" w:hAnsi="Arial" w:cs="Arial"/>
                <w:sz w:val="20"/>
                <w:szCs w:val="20"/>
              </w:rPr>
              <w:t>5</w:t>
            </w:r>
            <w:r w:rsidRPr="00056171">
              <w:rPr>
                <w:rFonts w:ascii="Arial" w:hAnsi="Arial" w:cs="Arial"/>
                <w:sz w:val="20"/>
                <w:szCs w:val="20"/>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8B19A9" w:rsidP="000C3C6A">
            <w:pPr>
              <w:jc w:val="center"/>
              <w:rPr>
                <w:rFonts w:ascii="Arial" w:hAnsi="Arial" w:cs="Arial"/>
                <w:sz w:val="20"/>
                <w:szCs w:val="20"/>
              </w:rPr>
            </w:pPr>
            <w:r w:rsidRPr="00056171">
              <w:rPr>
                <w:rFonts w:ascii="Arial" w:hAnsi="Arial" w:cs="Arial"/>
                <w:sz w:val="20"/>
                <w:szCs w:val="20"/>
              </w:rPr>
              <w:t>8.00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0.0500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0.1</w:t>
            </w:r>
            <w:r w:rsidR="00BB3C01" w:rsidRPr="00056171">
              <w:rPr>
                <w:rFonts w:ascii="Arial" w:hAnsi="Arial" w:cs="Arial"/>
                <w:sz w:val="20"/>
                <w:szCs w:val="20"/>
              </w:rPr>
              <w:t>0</w:t>
            </w:r>
            <w:r w:rsidRPr="00056171">
              <w:rPr>
                <w:rFonts w:ascii="Arial" w:hAnsi="Arial" w:cs="Arial"/>
                <w:sz w:val="20"/>
                <w:szCs w:val="20"/>
              </w:rPr>
              <w:t>0</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Silver</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0.0</w:t>
            </w:r>
            <w:r w:rsidR="003733FE" w:rsidRPr="00056171">
              <w:rPr>
                <w:rFonts w:ascii="Arial" w:hAnsi="Arial" w:cs="Arial"/>
                <w:sz w:val="20"/>
                <w:szCs w:val="20"/>
              </w:rPr>
              <w:t>500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3733FE" w:rsidP="000C3C6A">
            <w:pPr>
              <w:jc w:val="center"/>
              <w:rPr>
                <w:rFonts w:ascii="Arial" w:hAnsi="Arial" w:cs="Arial"/>
                <w:sz w:val="20"/>
                <w:szCs w:val="20"/>
              </w:rPr>
            </w:pPr>
            <w:r w:rsidRPr="00056171">
              <w:rPr>
                <w:rFonts w:ascii="Arial" w:hAnsi="Arial" w:cs="Arial"/>
                <w:sz w:val="20"/>
                <w:szCs w:val="20"/>
              </w:rPr>
              <w:t>0.100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0.0</w:t>
            </w:r>
            <w:r w:rsidR="00BB3C01" w:rsidRPr="00056171">
              <w:rPr>
                <w:rFonts w:ascii="Arial" w:hAnsi="Arial" w:cs="Arial"/>
                <w:sz w:val="20"/>
                <w:szCs w:val="20"/>
              </w:rPr>
              <w:t>2</w:t>
            </w:r>
            <w:r w:rsidRPr="00056171">
              <w:rPr>
                <w:rFonts w:ascii="Arial" w:hAnsi="Arial" w:cs="Arial"/>
                <w:sz w:val="20"/>
                <w:szCs w:val="20"/>
              </w:rPr>
              <w:t>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0.0500</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Zinc</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18.0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2243A7" w:rsidP="000C3C6A">
            <w:pPr>
              <w:jc w:val="center"/>
              <w:rPr>
                <w:rFonts w:ascii="Arial" w:hAnsi="Arial" w:cs="Arial"/>
                <w:sz w:val="20"/>
                <w:szCs w:val="20"/>
              </w:rPr>
            </w:pPr>
            <w:r w:rsidRPr="00056171">
              <w:rPr>
                <w:rFonts w:ascii="Arial" w:hAnsi="Arial" w:cs="Arial"/>
                <w:sz w:val="20"/>
                <w:szCs w:val="20"/>
              </w:rPr>
              <w:t>0.500</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Mercury</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930A33" w:rsidP="000C3C6A">
            <w:pPr>
              <w:jc w:val="center"/>
              <w:rPr>
                <w:rFonts w:ascii="Arial" w:hAnsi="Arial" w:cs="Arial"/>
                <w:sz w:val="20"/>
                <w:szCs w:val="20"/>
              </w:rPr>
            </w:pPr>
            <w:r>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930A33" w:rsidP="000C3C6A">
            <w:pPr>
              <w:jc w:val="center"/>
              <w:rPr>
                <w:rFonts w:ascii="Arial" w:hAnsi="Arial" w:cs="Arial"/>
                <w:sz w:val="20"/>
                <w:szCs w:val="20"/>
              </w:rPr>
            </w:pPr>
            <w:r w:rsidRPr="00056171">
              <w:rPr>
                <w:rFonts w:ascii="Arial" w:hAnsi="Arial" w:cs="Arial"/>
                <w:sz w:val="20"/>
                <w:szCs w:val="20"/>
              </w:rPr>
              <w:t>&lt;0.0002</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930A33" w:rsidP="000C3C6A">
            <w:pPr>
              <w:jc w:val="center"/>
              <w:rPr>
                <w:rFonts w:ascii="Arial" w:hAnsi="Arial" w:cs="Arial"/>
                <w:sz w:val="20"/>
                <w:szCs w:val="20"/>
              </w:rPr>
            </w:pPr>
            <w:r>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930A33" w:rsidP="000C3C6A">
            <w:pPr>
              <w:jc w:val="center"/>
              <w:rPr>
                <w:rFonts w:ascii="Arial" w:hAnsi="Arial" w:cs="Arial"/>
                <w:sz w:val="20"/>
                <w:szCs w:val="20"/>
              </w:rPr>
            </w:pPr>
            <w:r w:rsidRPr="00056171">
              <w:rPr>
                <w:rFonts w:ascii="Arial" w:hAnsi="Arial" w:cs="Arial"/>
                <w:sz w:val="20"/>
                <w:szCs w:val="20"/>
              </w:rPr>
              <w:t>&lt;0.0002</w:t>
            </w:r>
          </w:p>
        </w:tc>
      </w:tr>
      <w:tr w:rsidR="00F66385"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66385" w:rsidRPr="00056171" w:rsidRDefault="00F66385" w:rsidP="0014644A">
            <w:pPr>
              <w:rPr>
                <w:rFonts w:ascii="Arial" w:hAnsi="Arial" w:cs="Arial"/>
                <w:sz w:val="20"/>
                <w:szCs w:val="20"/>
              </w:rPr>
            </w:pPr>
            <w:r w:rsidRPr="00056171">
              <w:rPr>
                <w:rFonts w:ascii="Arial" w:hAnsi="Arial" w:cs="Arial"/>
                <w:sz w:val="20"/>
                <w:szCs w:val="20"/>
              </w:rPr>
              <w:t>Cyanide</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0.100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66385" w:rsidRPr="00056171" w:rsidRDefault="00847381" w:rsidP="000C3C6A">
            <w:pPr>
              <w:jc w:val="center"/>
              <w:rPr>
                <w:rFonts w:ascii="Arial" w:hAnsi="Arial" w:cs="Arial"/>
                <w:sz w:val="20"/>
                <w:szCs w:val="20"/>
              </w:rPr>
            </w:pPr>
            <w:r w:rsidRPr="00056171">
              <w:rPr>
                <w:rFonts w:ascii="Arial" w:hAnsi="Arial" w:cs="Arial"/>
                <w:sz w:val="20"/>
                <w:szCs w:val="20"/>
              </w:rPr>
              <w:t>0.200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F66385" w:rsidP="000C3C6A">
            <w:pPr>
              <w:jc w:val="center"/>
              <w:rPr>
                <w:rFonts w:ascii="Arial" w:hAnsi="Arial" w:cs="Arial"/>
                <w:sz w:val="20"/>
                <w:szCs w:val="20"/>
              </w:rPr>
            </w:pPr>
            <w:r w:rsidRPr="00056171">
              <w:rPr>
                <w:rFonts w:ascii="Arial" w:hAnsi="Arial" w:cs="Arial"/>
                <w:sz w:val="20"/>
                <w:szCs w:val="20"/>
              </w:rPr>
              <w:t>0.0500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66385" w:rsidRPr="00056171" w:rsidRDefault="00847381" w:rsidP="000C3C6A">
            <w:pPr>
              <w:jc w:val="center"/>
              <w:rPr>
                <w:rFonts w:ascii="Arial" w:hAnsi="Arial" w:cs="Arial"/>
                <w:sz w:val="20"/>
                <w:szCs w:val="20"/>
              </w:rPr>
            </w:pPr>
            <w:r w:rsidRPr="00056171">
              <w:rPr>
                <w:rFonts w:ascii="Arial" w:hAnsi="Arial" w:cs="Arial"/>
                <w:sz w:val="20"/>
                <w:szCs w:val="20"/>
              </w:rPr>
              <w:t>0.100</w:t>
            </w:r>
          </w:p>
        </w:tc>
      </w:tr>
      <w:tr w:rsidR="008918B3"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8B3" w:rsidRPr="00056171" w:rsidRDefault="008918B3" w:rsidP="005E5E5B">
            <w:pPr>
              <w:rPr>
                <w:rFonts w:ascii="Arial" w:hAnsi="Arial" w:cs="Arial"/>
                <w:sz w:val="20"/>
                <w:szCs w:val="20"/>
              </w:rPr>
            </w:pPr>
            <w:r w:rsidRPr="00056171">
              <w:rPr>
                <w:rFonts w:ascii="Arial" w:hAnsi="Arial" w:cs="Arial"/>
                <w:sz w:val="20"/>
                <w:szCs w:val="20"/>
              </w:rPr>
              <w:t>Acetone</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8B3" w:rsidRPr="00056171" w:rsidRDefault="00930A33" w:rsidP="005E5E5B">
            <w:pPr>
              <w:jc w:val="center"/>
              <w:rPr>
                <w:rFonts w:ascii="Arial" w:hAnsi="Arial" w:cs="Arial"/>
                <w:sz w:val="20"/>
                <w:szCs w:val="20"/>
              </w:rPr>
            </w:pPr>
            <w:r>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8B3" w:rsidRPr="00056171" w:rsidRDefault="00930A33" w:rsidP="005E5E5B">
            <w:pPr>
              <w:jc w:val="center"/>
              <w:rPr>
                <w:rFonts w:ascii="Arial" w:hAnsi="Arial" w:cs="Arial"/>
                <w:sz w:val="20"/>
                <w:szCs w:val="20"/>
              </w:rPr>
            </w:pPr>
            <w:r>
              <w:rPr>
                <w:rFonts w:ascii="Arial" w:hAnsi="Arial" w:cs="Arial"/>
                <w:sz w:val="20"/>
                <w:szCs w:val="20"/>
              </w:rPr>
              <w:t>25.0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8B3" w:rsidRPr="00056171" w:rsidRDefault="00930A33" w:rsidP="005E5E5B">
            <w:pPr>
              <w:jc w:val="center"/>
              <w:rPr>
                <w:rFonts w:ascii="Arial" w:hAnsi="Arial" w:cs="Arial"/>
                <w:sz w:val="20"/>
                <w:szCs w:val="20"/>
              </w:rPr>
            </w:pPr>
            <w:r>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8B3" w:rsidRPr="00056171" w:rsidRDefault="00930A33" w:rsidP="005E5E5B">
            <w:pPr>
              <w:jc w:val="center"/>
              <w:rPr>
                <w:rFonts w:ascii="Arial" w:hAnsi="Arial" w:cs="Arial"/>
                <w:sz w:val="20"/>
                <w:szCs w:val="20"/>
              </w:rPr>
            </w:pPr>
            <w:r>
              <w:rPr>
                <w:rFonts w:ascii="Arial" w:hAnsi="Arial" w:cs="Arial"/>
                <w:sz w:val="20"/>
                <w:szCs w:val="20"/>
              </w:rPr>
              <w:t>25.0</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Aniline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Benzene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Bis(2-ethylhexyl)phthalate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0.400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0.400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NA</w:t>
            </w:r>
          </w:p>
        </w:tc>
      </w:tr>
      <w:tr w:rsidR="005E5E5B"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5B" w:rsidRPr="00056171" w:rsidRDefault="005E5E5B" w:rsidP="005E5E5B">
            <w:pPr>
              <w:rPr>
                <w:rFonts w:ascii="Arial" w:hAnsi="Arial" w:cs="Arial"/>
                <w:sz w:val="20"/>
                <w:szCs w:val="20"/>
              </w:rPr>
            </w:pPr>
            <w:r w:rsidRPr="00056171">
              <w:rPr>
                <w:rFonts w:ascii="Arial" w:hAnsi="Arial" w:cs="Arial"/>
                <w:sz w:val="20"/>
                <w:szCs w:val="20"/>
              </w:rPr>
              <w:t xml:space="preserve">2-Butanone (MEK)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5B" w:rsidRPr="00056171" w:rsidRDefault="003B0CEC" w:rsidP="005E5E5B">
            <w:pPr>
              <w:jc w:val="center"/>
              <w:rPr>
                <w:rFonts w:ascii="Arial" w:hAnsi="Arial" w:cs="Arial"/>
                <w:sz w:val="20"/>
                <w:szCs w:val="20"/>
              </w:rPr>
            </w:pPr>
            <w:r w:rsidRPr="00056171">
              <w:rPr>
                <w:rFonts w:ascii="Arial" w:hAnsi="Arial" w:cs="Arial"/>
                <w:sz w:val="20"/>
                <w:szCs w:val="20"/>
              </w:rPr>
              <w:t>2.50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5B" w:rsidRPr="00056171" w:rsidRDefault="005E5E5B" w:rsidP="005E5E5B">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E5B" w:rsidRPr="00056171" w:rsidRDefault="003B0CEC" w:rsidP="005E5E5B">
            <w:pPr>
              <w:jc w:val="center"/>
              <w:rPr>
                <w:rFonts w:ascii="Arial" w:hAnsi="Arial" w:cs="Arial"/>
                <w:sz w:val="20"/>
                <w:szCs w:val="20"/>
              </w:rPr>
            </w:pPr>
            <w:r w:rsidRPr="00056171">
              <w:rPr>
                <w:rFonts w:ascii="Arial" w:hAnsi="Arial" w:cs="Arial"/>
                <w:sz w:val="20"/>
                <w:szCs w:val="20"/>
              </w:rPr>
              <w:t>2.50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E5B" w:rsidRPr="00056171" w:rsidRDefault="005E5E5B" w:rsidP="005E5E5B">
            <w:pPr>
              <w:jc w:val="center"/>
            </w:pPr>
            <w:r w:rsidRPr="00056171">
              <w:rPr>
                <w:rFonts w:ascii="Arial" w:hAnsi="Arial" w:cs="Arial"/>
                <w:sz w:val="20"/>
                <w:szCs w:val="20"/>
              </w:rPr>
              <w:t>NA</w:t>
            </w:r>
          </w:p>
        </w:tc>
      </w:tr>
      <w:tr w:rsidR="005E5E5B"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5B" w:rsidRPr="00056171" w:rsidRDefault="005E5E5B" w:rsidP="005E5E5B">
            <w:pPr>
              <w:rPr>
                <w:rFonts w:ascii="Arial" w:hAnsi="Arial" w:cs="Arial"/>
                <w:sz w:val="20"/>
                <w:szCs w:val="20"/>
              </w:rPr>
            </w:pPr>
            <w:r w:rsidRPr="00056171">
              <w:rPr>
                <w:rFonts w:ascii="Arial" w:hAnsi="Arial" w:cs="Arial"/>
                <w:sz w:val="20"/>
                <w:szCs w:val="20"/>
              </w:rPr>
              <w:t xml:space="preserve">Carbon tetrachloride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5B" w:rsidRPr="00056171" w:rsidRDefault="005E5E5B" w:rsidP="005E5E5B">
            <w:pPr>
              <w:jc w:val="center"/>
              <w:rPr>
                <w:rFonts w:ascii="Arial" w:hAnsi="Arial" w:cs="Arial"/>
                <w:sz w:val="20"/>
                <w:szCs w:val="20"/>
              </w:rPr>
            </w:pPr>
            <w:r w:rsidRPr="00056171">
              <w:rPr>
                <w:rFonts w:ascii="Arial" w:hAnsi="Arial" w:cs="Arial"/>
                <w:sz w:val="20"/>
                <w:szCs w:val="20"/>
              </w:rPr>
              <w:t>0.0100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E5E5B" w:rsidRPr="00056171" w:rsidRDefault="005E5E5B" w:rsidP="005E5E5B">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E5B" w:rsidRPr="00056171" w:rsidRDefault="005E5E5B" w:rsidP="005E5E5B">
            <w:pPr>
              <w:jc w:val="center"/>
              <w:rPr>
                <w:rFonts w:ascii="Arial" w:hAnsi="Arial" w:cs="Arial"/>
                <w:sz w:val="20"/>
                <w:szCs w:val="20"/>
              </w:rPr>
            </w:pPr>
            <w:r w:rsidRPr="00056171">
              <w:rPr>
                <w:rFonts w:ascii="Arial" w:hAnsi="Arial" w:cs="Arial"/>
                <w:sz w:val="20"/>
                <w:szCs w:val="20"/>
              </w:rPr>
              <w:t>0.0100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E5B" w:rsidRPr="00056171" w:rsidRDefault="005E5E5B" w:rsidP="005E5E5B">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Chlorobenzene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0.0500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0.0500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Chloroethane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0.0500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0.0500</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Chloroform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0.0500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0.0500</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1,2-Dichlorobenzene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1,3-Dichlorobenzene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1,4-Dichlorobenzene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1,1-Dichloroethane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0.150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0.150</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1,2-Dichloroethane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1,1-Dichloroethylene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0.0150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0.0150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cis-1,2-Dichloroethylene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18"/>
                <w:szCs w:val="18"/>
              </w:rPr>
            </w:pPr>
            <w:r w:rsidRPr="00056171">
              <w:rPr>
                <w:rFonts w:ascii="Arial" w:hAnsi="Arial" w:cs="Arial"/>
                <w:sz w:val="18"/>
                <w:szCs w:val="18"/>
              </w:rPr>
              <w:lastRenderedPageBreak/>
              <w:t xml:space="preserve">trans-1,2-Dichloroethylene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Ethylbenzene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0.200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0.200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N-Ethylaniline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Methylene chloride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0.200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0.200</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Naphthalene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0.0500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0.0500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Tetrachloroethylene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Tetrahydrofuran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0.150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0.150</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Toluene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0.300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0.300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1,1,1-Trichloroethane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0.0750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0.0750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1,1,2-Trichloroethane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0.100</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Trichloroethylene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0.0250</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0.0250</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Vinyl chloride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0.0100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r w:rsidR="000C3C6A" w:rsidRPr="00056171" w:rsidTr="000663A4">
        <w:trPr>
          <w:trHeight w:val="255"/>
          <w:jc w:val="center"/>
        </w:trPr>
        <w:tc>
          <w:tcPr>
            <w:tcW w:w="25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14644A">
            <w:pPr>
              <w:rPr>
                <w:rFonts w:ascii="Arial" w:hAnsi="Arial" w:cs="Arial"/>
                <w:sz w:val="20"/>
                <w:szCs w:val="20"/>
              </w:rPr>
            </w:pPr>
            <w:r w:rsidRPr="00056171">
              <w:rPr>
                <w:rFonts w:ascii="Arial" w:hAnsi="Arial" w:cs="Arial"/>
                <w:sz w:val="20"/>
                <w:szCs w:val="20"/>
              </w:rPr>
              <w:t xml:space="preserve">Total Xylenes </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0.300</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3C6A" w:rsidRPr="00056171" w:rsidRDefault="000C3C6A" w:rsidP="000C3C6A">
            <w:pPr>
              <w:jc w:val="center"/>
            </w:pPr>
            <w:r w:rsidRPr="00056171">
              <w:rPr>
                <w:rFonts w:ascii="Arial" w:hAnsi="Arial" w:cs="Arial"/>
                <w:sz w:val="20"/>
                <w:szCs w:val="20"/>
              </w:rPr>
              <w:t>NA</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rPr>
                <w:rFonts w:ascii="Arial" w:hAnsi="Arial" w:cs="Arial"/>
                <w:sz w:val="20"/>
                <w:szCs w:val="20"/>
              </w:rPr>
            </w:pPr>
            <w:r w:rsidRPr="00056171">
              <w:rPr>
                <w:rFonts w:ascii="Arial" w:hAnsi="Arial" w:cs="Arial"/>
                <w:sz w:val="20"/>
                <w:szCs w:val="20"/>
              </w:rPr>
              <w:t>0.300</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3C6A" w:rsidRPr="00056171" w:rsidRDefault="000C3C6A" w:rsidP="000C3C6A">
            <w:pPr>
              <w:jc w:val="center"/>
            </w:pPr>
            <w:r w:rsidRPr="00056171">
              <w:rPr>
                <w:rFonts w:ascii="Arial" w:hAnsi="Arial" w:cs="Arial"/>
                <w:sz w:val="20"/>
                <w:szCs w:val="20"/>
              </w:rPr>
              <w:t>NA</w:t>
            </w:r>
          </w:p>
        </w:tc>
      </w:tr>
    </w:tbl>
    <w:p w:rsidR="001709B9" w:rsidRPr="00056171" w:rsidRDefault="001709B9" w:rsidP="008B433C">
      <w:pPr>
        <w:rPr>
          <w:rFonts w:ascii="Arial" w:hAnsi="Arial" w:cs="Arial"/>
        </w:rPr>
      </w:pPr>
    </w:p>
    <w:p w:rsidR="009269E7" w:rsidRPr="00056171" w:rsidRDefault="00B377EE" w:rsidP="008B433C">
      <w:pPr>
        <w:rPr>
          <w:rFonts w:ascii="Arial" w:hAnsi="Arial" w:cs="Arial"/>
        </w:rPr>
      </w:pPr>
      <w:r w:rsidRPr="00056171">
        <w:rPr>
          <w:rFonts w:ascii="Arial" w:hAnsi="Arial" w:cs="Arial"/>
        </w:rPr>
        <w:t>Some of limits for volatile organic compounds were put in place to pr</w:t>
      </w:r>
      <w:r w:rsidR="00825519" w:rsidRPr="00056171">
        <w:rPr>
          <w:rFonts w:ascii="Arial" w:hAnsi="Arial" w:cs="Arial"/>
        </w:rPr>
        <w:t xml:space="preserve">otect those who work on the collection system from exposure to hazardous levels of volatile organic vapors.  </w:t>
      </w:r>
      <w:r w:rsidR="00EB3561" w:rsidRPr="00056171">
        <w:rPr>
          <w:rFonts w:ascii="Arial" w:hAnsi="Arial" w:cs="Arial"/>
        </w:rPr>
        <w:t>MCWMS may grant an industry a</w:t>
      </w:r>
      <w:r w:rsidR="00F25C4F" w:rsidRPr="00056171">
        <w:rPr>
          <w:rFonts w:ascii="Arial" w:hAnsi="Arial" w:cs="Arial"/>
        </w:rPr>
        <w:t xml:space="preserve"> Specific Alternative Limit</w:t>
      </w:r>
      <w:r w:rsidR="007F7D3D" w:rsidRPr="00056171">
        <w:rPr>
          <w:rFonts w:ascii="Arial" w:hAnsi="Arial" w:cs="Arial"/>
        </w:rPr>
        <w:t xml:space="preserve"> (SAL)</w:t>
      </w:r>
      <w:r w:rsidR="00F25C4F" w:rsidRPr="00056171">
        <w:rPr>
          <w:rFonts w:ascii="Arial" w:hAnsi="Arial" w:cs="Arial"/>
        </w:rPr>
        <w:t xml:space="preserve"> </w:t>
      </w:r>
      <w:r w:rsidR="00EB3561" w:rsidRPr="00056171">
        <w:rPr>
          <w:rFonts w:ascii="Arial" w:hAnsi="Arial" w:cs="Arial"/>
        </w:rPr>
        <w:t>higher than those published above</w:t>
      </w:r>
      <w:r w:rsidR="00F25C4F" w:rsidRPr="00056171">
        <w:rPr>
          <w:rFonts w:ascii="Arial" w:hAnsi="Arial" w:cs="Arial"/>
        </w:rPr>
        <w:t>.</w:t>
      </w:r>
      <w:r w:rsidR="00A76372" w:rsidRPr="00056171">
        <w:rPr>
          <w:rFonts w:ascii="Arial" w:hAnsi="Arial" w:cs="Arial"/>
        </w:rPr>
        <w:t xml:space="preserve">  </w:t>
      </w:r>
      <w:r w:rsidR="00135466" w:rsidRPr="00056171">
        <w:rPr>
          <w:rFonts w:ascii="Arial" w:hAnsi="Arial" w:cs="Arial"/>
        </w:rPr>
        <w:t xml:space="preserve">In cases where the Federal Government imposes a categorical limit that is stricter than the local limit, the stricter limit will be imposed.  Likewise, if </w:t>
      </w:r>
      <w:r w:rsidR="00875C62" w:rsidRPr="00056171">
        <w:rPr>
          <w:rFonts w:ascii="Arial" w:hAnsi="Arial" w:cs="Arial"/>
        </w:rPr>
        <w:t>a</w:t>
      </w:r>
      <w:r w:rsidR="00135466" w:rsidRPr="00056171">
        <w:rPr>
          <w:rFonts w:ascii="Arial" w:hAnsi="Arial" w:cs="Arial"/>
        </w:rPr>
        <w:t xml:space="preserve"> local limit is stricter than </w:t>
      </w:r>
      <w:r w:rsidR="00875C62" w:rsidRPr="00056171">
        <w:rPr>
          <w:rFonts w:ascii="Arial" w:hAnsi="Arial" w:cs="Arial"/>
        </w:rPr>
        <w:t>a</w:t>
      </w:r>
      <w:r w:rsidR="00135466" w:rsidRPr="00056171">
        <w:rPr>
          <w:rFonts w:ascii="Arial" w:hAnsi="Arial" w:cs="Arial"/>
        </w:rPr>
        <w:t xml:space="preserve"> Federal categorical limit, the local limit will be imposed.  </w:t>
      </w:r>
      <w:r w:rsidR="009269E7" w:rsidRPr="00056171">
        <w:rPr>
          <w:rFonts w:ascii="Arial" w:hAnsi="Arial" w:cs="Arial"/>
        </w:rPr>
        <w:t xml:space="preserve">The </w:t>
      </w:r>
      <w:r w:rsidR="00EB3561" w:rsidRPr="00056171">
        <w:rPr>
          <w:rFonts w:ascii="Arial" w:hAnsi="Arial" w:cs="Arial"/>
        </w:rPr>
        <w:t xml:space="preserve">MCWMS </w:t>
      </w:r>
      <w:r w:rsidR="009269E7" w:rsidRPr="00056171">
        <w:rPr>
          <w:rFonts w:ascii="Arial" w:hAnsi="Arial" w:cs="Arial"/>
        </w:rPr>
        <w:t>Director reserves the right to establish local initiatives</w:t>
      </w:r>
      <w:r w:rsidR="0077114B" w:rsidRPr="00056171">
        <w:rPr>
          <w:rFonts w:ascii="Arial" w:hAnsi="Arial" w:cs="Arial"/>
        </w:rPr>
        <w:t>.</w:t>
      </w:r>
      <w:r w:rsidR="009269E7" w:rsidRPr="00056171">
        <w:rPr>
          <w:rFonts w:ascii="Arial" w:hAnsi="Arial" w:cs="Arial"/>
        </w:rPr>
        <w:t xml:space="preserve">  A local initiative is the imposition of a limit in a user permit or order upon a pollutant or flow, which, if not limited, may result in </w:t>
      </w:r>
      <w:r w:rsidR="0077114B" w:rsidRPr="00056171">
        <w:rPr>
          <w:rFonts w:ascii="Arial" w:hAnsi="Arial" w:cs="Arial"/>
        </w:rPr>
        <w:t xml:space="preserve">harm to the wastewater treatment </w:t>
      </w:r>
      <w:r w:rsidR="00C44C16" w:rsidRPr="00056171">
        <w:rPr>
          <w:rFonts w:ascii="Arial" w:hAnsi="Arial" w:cs="Arial"/>
        </w:rPr>
        <w:t>plant</w:t>
      </w:r>
      <w:r w:rsidR="0077114B" w:rsidRPr="00056171">
        <w:rPr>
          <w:rFonts w:ascii="Arial" w:hAnsi="Arial" w:cs="Arial"/>
        </w:rPr>
        <w:t xml:space="preserve">, its workers or the </w:t>
      </w:r>
      <w:r w:rsidR="00C44C16" w:rsidRPr="00056171">
        <w:rPr>
          <w:rFonts w:ascii="Arial" w:hAnsi="Arial" w:cs="Arial"/>
        </w:rPr>
        <w:t>environment</w:t>
      </w:r>
      <w:r w:rsidR="009269E7" w:rsidRPr="00056171">
        <w:rPr>
          <w:rFonts w:ascii="Arial" w:hAnsi="Arial" w:cs="Arial"/>
        </w:rPr>
        <w:t>, or which may interfere with the analy</w:t>
      </w:r>
      <w:r w:rsidR="0062318F" w:rsidRPr="00056171">
        <w:rPr>
          <w:rFonts w:ascii="Arial" w:hAnsi="Arial" w:cs="Arial"/>
        </w:rPr>
        <w:t xml:space="preserve">sis of other limited parameters.  The parameter limited in a local initiative may be a pollutant listed in Table 2 or 3 but with a stricter limit than is given for that parameter in Table 2 </w:t>
      </w:r>
      <w:r w:rsidR="006B0A05" w:rsidRPr="00056171">
        <w:rPr>
          <w:rFonts w:ascii="Arial" w:hAnsi="Arial" w:cs="Arial"/>
        </w:rPr>
        <w:t>or 3, or it may</w:t>
      </w:r>
      <w:r w:rsidR="00C73AF1" w:rsidRPr="00056171">
        <w:rPr>
          <w:rFonts w:ascii="Arial" w:hAnsi="Arial" w:cs="Arial"/>
        </w:rPr>
        <w:t xml:space="preserve"> be</w:t>
      </w:r>
      <w:r w:rsidR="006B0A05" w:rsidRPr="00056171">
        <w:rPr>
          <w:rFonts w:ascii="Arial" w:hAnsi="Arial" w:cs="Arial"/>
        </w:rPr>
        <w:t xml:space="preserve"> a parameter different than </w:t>
      </w:r>
      <w:r w:rsidR="00C73AF1" w:rsidRPr="00056171">
        <w:rPr>
          <w:rFonts w:ascii="Arial" w:hAnsi="Arial" w:cs="Arial"/>
        </w:rPr>
        <w:t>those listed</w:t>
      </w:r>
      <w:r w:rsidR="006B0A05" w:rsidRPr="00056171">
        <w:rPr>
          <w:rFonts w:ascii="Arial" w:hAnsi="Arial" w:cs="Arial"/>
        </w:rPr>
        <w:t xml:space="preserve"> in these tables.</w:t>
      </w:r>
    </w:p>
    <w:p w:rsidR="00825519" w:rsidRPr="00056171" w:rsidRDefault="00825519" w:rsidP="008B433C">
      <w:pPr>
        <w:rPr>
          <w:rFonts w:ascii="Arial" w:hAnsi="Arial" w:cs="Arial"/>
        </w:rPr>
      </w:pPr>
    </w:p>
    <w:p w:rsidR="00BC7DAB" w:rsidRPr="00056171" w:rsidRDefault="00BC7DAB" w:rsidP="00BC7DAB">
      <w:pPr>
        <w:rPr>
          <w:rFonts w:ascii="Arial" w:hAnsi="Arial" w:cs="Arial"/>
        </w:rPr>
      </w:pPr>
      <w:r w:rsidRPr="00056171">
        <w:rPr>
          <w:rFonts w:ascii="Arial" w:hAnsi="Arial" w:cs="Arial"/>
        </w:rPr>
        <w:t>In some cases a SAL for a volatile organic compound may be granted to a user in excess of the concentration that could contribute to vapor levels potentially exceeding the exposure limit for collection system workers.  In such cases, the municipalities that would be affected will be informed annually which users are permitted to discharge above worker health levels so that workers can take appropriate protective measures when working on the collection system downstream of those users.  Notification will be sent to the affected municipalities’ public works departments by certified mail or other verifiable means.  It will be sent yearly.  It will contain the names and addresses of those industries that are permitted to discharge over the worker health limit, the names of the compounds, the permitted discharge concentrations, and, for comparison, the concentration l</w:t>
      </w:r>
      <w:r w:rsidR="00D51F95" w:rsidRPr="00056171">
        <w:rPr>
          <w:rFonts w:ascii="Arial" w:hAnsi="Arial" w:cs="Arial"/>
        </w:rPr>
        <w:t xml:space="preserve">imit </w:t>
      </w:r>
      <w:r w:rsidRPr="00056171">
        <w:rPr>
          <w:rFonts w:ascii="Arial" w:hAnsi="Arial" w:cs="Arial"/>
        </w:rPr>
        <w:t>that would be considered safe for collection system workers.</w:t>
      </w:r>
      <w:r w:rsidR="00C14816" w:rsidRPr="00056171">
        <w:rPr>
          <w:rFonts w:ascii="Arial" w:hAnsi="Arial" w:cs="Arial"/>
        </w:rPr>
        <w:t xml:space="preserve">  These conditions were </w:t>
      </w:r>
      <w:r w:rsidR="00142EC2" w:rsidRPr="00056171">
        <w:rPr>
          <w:rFonts w:ascii="Arial" w:hAnsi="Arial" w:cs="Arial"/>
        </w:rPr>
        <w:t>approved</w:t>
      </w:r>
      <w:r w:rsidR="00C14816" w:rsidRPr="00056171">
        <w:rPr>
          <w:rFonts w:ascii="Arial" w:hAnsi="Arial" w:cs="Arial"/>
        </w:rPr>
        <w:t xml:space="preserve"> by the Municipal Wastewater Users Committee.</w:t>
      </w:r>
    </w:p>
    <w:p w:rsidR="009269E7" w:rsidRPr="00056171" w:rsidRDefault="009269E7" w:rsidP="008B433C">
      <w:pPr>
        <w:rPr>
          <w:rFonts w:ascii="Arial" w:hAnsi="Arial" w:cs="Arial"/>
        </w:rPr>
      </w:pPr>
    </w:p>
    <w:p w:rsidR="00FD1B35" w:rsidRDefault="00FD1B35">
      <w:pPr>
        <w:rPr>
          <w:rFonts w:ascii="Arial" w:hAnsi="Arial" w:cs="Arial"/>
        </w:rPr>
      </w:pPr>
      <w:r>
        <w:rPr>
          <w:rFonts w:ascii="Arial" w:hAnsi="Arial" w:cs="Arial"/>
        </w:rPr>
        <w:br w:type="page"/>
      </w:r>
    </w:p>
    <w:p w:rsidR="008B433C" w:rsidRPr="00056171" w:rsidRDefault="008B433C" w:rsidP="008B433C">
      <w:pPr>
        <w:rPr>
          <w:rFonts w:ascii="Arial" w:hAnsi="Arial" w:cs="Arial"/>
        </w:rPr>
      </w:pPr>
      <w:r w:rsidRPr="00056171">
        <w:rPr>
          <w:rFonts w:ascii="Arial" w:hAnsi="Arial" w:cs="Arial"/>
        </w:rPr>
        <w:lastRenderedPageBreak/>
        <w:t>The limits for mercury, unlike those for other pollutants</w:t>
      </w:r>
      <w:r w:rsidR="00C1765A" w:rsidRPr="00056171">
        <w:rPr>
          <w:rFonts w:ascii="Arial" w:hAnsi="Arial" w:cs="Arial"/>
        </w:rPr>
        <w:t xml:space="preserve"> in Table </w:t>
      </w:r>
      <w:r w:rsidR="0077114B" w:rsidRPr="00056171">
        <w:rPr>
          <w:rFonts w:ascii="Arial" w:hAnsi="Arial" w:cs="Arial"/>
        </w:rPr>
        <w:t>2</w:t>
      </w:r>
      <w:r w:rsidRPr="00056171">
        <w:rPr>
          <w:rFonts w:ascii="Arial" w:hAnsi="Arial" w:cs="Arial"/>
        </w:rPr>
        <w:t xml:space="preserve">, are not derived from a </w:t>
      </w:r>
      <w:r w:rsidR="002B6768" w:rsidRPr="00056171">
        <w:rPr>
          <w:rFonts w:ascii="Arial" w:hAnsi="Arial" w:cs="Arial"/>
        </w:rPr>
        <w:t xml:space="preserve">technically determined </w:t>
      </w:r>
      <w:r w:rsidRPr="00056171">
        <w:rPr>
          <w:rFonts w:ascii="Arial" w:hAnsi="Arial" w:cs="Arial"/>
        </w:rPr>
        <w:t xml:space="preserve">MAHL.  Instead they are driven by the fact that MCWMS is not currently meeting the water quality based effluent limit for mercury of 1.3 </w:t>
      </w:r>
      <w:r w:rsidR="0077114B" w:rsidRPr="00056171">
        <w:rPr>
          <w:rFonts w:ascii="Arial" w:hAnsi="Arial" w:cs="Arial"/>
        </w:rPr>
        <w:t>nanograms per liter</w:t>
      </w:r>
      <w:r w:rsidRPr="00056171">
        <w:rPr>
          <w:rFonts w:ascii="Arial" w:hAnsi="Arial" w:cs="Arial"/>
        </w:rPr>
        <w:t>.  Therefore, MCWMS is under a State-imposed mercury reduction program</w:t>
      </w:r>
      <w:r w:rsidR="0015149B" w:rsidRPr="00056171">
        <w:rPr>
          <w:rFonts w:ascii="Arial" w:hAnsi="Arial" w:cs="Arial"/>
        </w:rPr>
        <w:t>.  Consequently</w:t>
      </w:r>
      <w:r w:rsidRPr="00056171">
        <w:rPr>
          <w:rFonts w:ascii="Arial" w:hAnsi="Arial" w:cs="Arial"/>
        </w:rPr>
        <w:t>, no discharge of mercury is permitted at or above 0.0002 mg/L, which is the commonly achieved quantification limit</w:t>
      </w:r>
      <w:r w:rsidR="0015149B" w:rsidRPr="00056171">
        <w:rPr>
          <w:rFonts w:ascii="Arial" w:hAnsi="Arial" w:cs="Arial"/>
        </w:rPr>
        <w:t xml:space="preserve"> for mercury</w:t>
      </w:r>
      <w:r w:rsidRPr="00056171">
        <w:rPr>
          <w:rFonts w:ascii="Arial" w:hAnsi="Arial" w:cs="Arial"/>
        </w:rPr>
        <w:t xml:space="preserve"> </w:t>
      </w:r>
      <w:r w:rsidR="0015149B" w:rsidRPr="00056171">
        <w:rPr>
          <w:rFonts w:ascii="Arial" w:hAnsi="Arial" w:cs="Arial"/>
        </w:rPr>
        <w:t>when analyzed by</w:t>
      </w:r>
      <w:r w:rsidRPr="00056171">
        <w:rPr>
          <w:rFonts w:ascii="Arial" w:hAnsi="Arial" w:cs="Arial"/>
        </w:rPr>
        <w:t xml:space="preserve"> atomic absorption methods.</w:t>
      </w:r>
    </w:p>
    <w:p w:rsidR="00C34919" w:rsidRPr="00056171" w:rsidRDefault="00C34919" w:rsidP="0023591F">
      <w:pPr>
        <w:jc w:val="center"/>
        <w:rPr>
          <w:rFonts w:ascii="Arial" w:hAnsi="Arial" w:cs="Arial"/>
          <w:b/>
        </w:rPr>
      </w:pPr>
    </w:p>
    <w:p w:rsidR="00C34919" w:rsidRPr="00056171" w:rsidRDefault="00C34919" w:rsidP="0023591F">
      <w:pPr>
        <w:jc w:val="center"/>
        <w:rPr>
          <w:rFonts w:ascii="Arial" w:hAnsi="Arial" w:cs="Arial"/>
          <w:b/>
        </w:rPr>
      </w:pPr>
    </w:p>
    <w:p w:rsidR="00377A31" w:rsidRPr="00056171" w:rsidRDefault="0023591F" w:rsidP="0023591F">
      <w:pPr>
        <w:jc w:val="center"/>
        <w:rPr>
          <w:rFonts w:ascii="Arial" w:hAnsi="Arial" w:cs="Arial"/>
          <w:b/>
        </w:rPr>
      </w:pPr>
      <w:r w:rsidRPr="00056171">
        <w:rPr>
          <w:rFonts w:ascii="Arial" w:hAnsi="Arial" w:cs="Arial"/>
          <w:b/>
        </w:rPr>
        <w:t xml:space="preserve">TABLE 3:  </w:t>
      </w:r>
      <w:r w:rsidR="0089032C" w:rsidRPr="00056171">
        <w:rPr>
          <w:rFonts w:ascii="Arial" w:hAnsi="Arial" w:cs="Arial"/>
          <w:b/>
        </w:rPr>
        <w:t>Instantaneous Limits for Industries Discharging to the Collection System</w:t>
      </w:r>
    </w:p>
    <w:tbl>
      <w:tblPr>
        <w:tblW w:w="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20"/>
        <w:gridCol w:w="2520"/>
        <w:gridCol w:w="2520"/>
      </w:tblGrid>
      <w:tr w:rsidR="00B93F02" w:rsidRPr="00056171" w:rsidTr="00B93F02">
        <w:trPr>
          <w:trHeight w:val="512"/>
          <w:jc w:val="center"/>
        </w:trPr>
        <w:tc>
          <w:tcPr>
            <w:tcW w:w="2520" w:type="dxa"/>
            <w:shd w:val="clear" w:color="auto" w:fill="auto"/>
            <w:noWrap/>
            <w:vAlign w:val="bottom"/>
          </w:tcPr>
          <w:p w:rsidR="00B93F02" w:rsidRPr="00056171" w:rsidRDefault="00B93F02">
            <w:pPr>
              <w:rPr>
                <w:rFonts w:ascii="Arial" w:hAnsi="Arial" w:cs="Arial"/>
                <w:sz w:val="20"/>
                <w:szCs w:val="20"/>
              </w:rPr>
            </w:pPr>
            <w:r w:rsidRPr="00056171">
              <w:rPr>
                <w:rFonts w:ascii="Arial" w:hAnsi="Arial" w:cs="Arial"/>
                <w:sz w:val="20"/>
                <w:szCs w:val="20"/>
              </w:rPr>
              <w:t> </w:t>
            </w:r>
          </w:p>
          <w:p w:rsidR="00B93F02" w:rsidRPr="00056171" w:rsidRDefault="00B93F02" w:rsidP="00B93F02">
            <w:pPr>
              <w:rPr>
                <w:rFonts w:ascii="Arial" w:hAnsi="Arial" w:cs="Arial"/>
                <w:sz w:val="20"/>
                <w:szCs w:val="20"/>
              </w:rPr>
            </w:pPr>
            <w:r w:rsidRPr="00056171">
              <w:rPr>
                <w:rFonts w:ascii="Arial" w:hAnsi="Arial" w:cs="Arial"/>
                <w:sz w:val="20"/>
                <w:szCs w:val="20"/>
              </w:rPr>
              <w:t>Pollutant Property</w:t>
            </w:r>
          </w:p>
        </w:tc>
        <w:tc>
          <w:tcPr>
            <w:tcW w:w="2520" w:type="dxa"/>
            <w:shd w:val="clear" w:color="auto" w:fill="auto"/>
            <w:vAlign w:val="bottom"/>
          </w:tcPr>
          <w:p w:rsidR="00B93F02" w:rsidRPr="00056171" w:rsidRDefault="00B93F02">
            <w:pPr>
              <w:jc w:val="center"/>
              <w:rPr>
                <w:rFonts w:ascii="Arial" w:hAnsi="Arial" w:cs="Arial"/>
                <w:sz w:val="20"/>
                <w:szCs w:val="20"/>
              </w:rPr>
            </w:pPr>
            <w:r w:rsidRPr="00056171">
              <w:rPr>
                <w:rFonts w:ascii="Arial" w:hAnsi="Arial" w:cs="Arial"/>
                <w:sz w:val="20"/>
                <w:szCs w:val="20"/>
              </w:rPr>
              <w:t>Instantaneous Limit</w:t>
            </w:r>
          </w:p>
        </w:tc>
        <w:tc>
          <w:tcPr>
            <w:tcW w:w="2520" w:type="dxa"/>
            <w:shd w:val="clear" w:color="auto" w:fill="auto"/>
            <w:vAlign w:val="bottom"/>
          </w:tcPr>
          <w:p w:rsidR="00B93F02" w:rsidRPr="00056171" w:rsidRDefault="00B93F02" w:rsidP="00C7654F">
            <w:pPr>
              <w:jc w:val="center"/>
              <w:rPr>
                <w:rFonts w:ascii="Arial" w:hAnsi="Arial" w:cs="Arial"/>
                <w:sz w:val="20"/>
                <w:szCs w:val="20"/>
              </w:rPr>
            </w:pPr>
            <w:r w:rsidRPr="00056171">
              <w:rPr>
                <w:rFonts w:ascii="Arial" w:hAnsi="Arial" w:cs="Arial"/>
                <w:sz w:val="20"/>
                <w:szCs w:val="20"/>
              </w:rPr>
              <w:t xml:space="preserve">Instantaneous Limit </w:t>
            </w:r>
            <w:r w:rsidR="00C7654F" w:rsidRPr="00056171">
              <w:rPr>
                <w:rFonts w:ascii="Arial" w:hAnsi="Arial" w:cs="Arial"/>
                <w:sz w:val="20"/>
                <w:szCs w:val="20"/>
              </w:rPr>
              <w:t xml:space="preserve">Applicable to </w:t>
            </w:r>
            <w:r w:rsidRPr="00056171">
              <w:rPr>
                <w:rFonts w:ascii="Arial" w:hAnsi="Arial" w:cs="Arial"/>
                <w:sz w:val="20"/>
                <w:szCs w:val="20"/>
              </w:rPr>
              <w:t xml:space="preserve">Groundwater </w:t>
            </w:r>
            <w:r w:rsidR="00C7654F" w:rsidRPr="00056171">
              <w:rPr>
                <w:rFonts w:ascii="Arial" w:hAnsi="Arial" w:cs="Arial"/>
                <w:sz w:val="20"/>
                <w:szCs w:val="20"/>
              </w:rPr>
              <w:t>Remediation Sites</w:t>
            </w:r>
            <w:r w:rsidRPr="00056171">
              <w:rPr>
                <w:rFonts w:ascii="Arial" w:hAnsi="Arial" w:cs="Arial"/>
                <w:sz w:val="20"/>
                <w:szCs w:val="20"/>
              </w:rPr>
              <w:t xml:space="preserve"> </w:t>
            </w:r>
          </w:p>
        </w:tc>
      </w:tr>
      <w:tr w:rsidR="00485B87" w:rsidRPr="00056171" w:rsidTr="00B93F02">
        <w:trPr>
          <w:trHeight w:val="255"/>
          <w:jc w:val="center"/>
        </w:trPr>
        <w:tc>
          <w:tcPr>
            <w:tcW w:w="2520" w:type="dxa"/>
            <w:shd w:val="clear" w:color="auto" w:fill="auto"/>
            <w:noWrap/>
            <w:vAlign w:val="bottom"/>
          </w:tcPr>
          <w:p w:rsidR="00485B87" w:rsidRPr="00056171" w:rsidRDefault="00B93F02">
            <w:pPr>
              <w:rPr>
                <w:rFonts w:ascii="Arial" w:hAnsi="Arial" w:cs="Arial"/>
                <w:sz w:val="20"/>
                <w:szCs w:val="20"/>
              </w:rPr>
            </w:pPr>
            <w:r w:rsidRPr="00056171">
              <w:rPr>
                <w:rFonts w:ascii="Arial" w:hAnsi="Arial" w:cs="Arial"/>
                <w:sz w:val="20"/>
                <w:szCs w:val="20"/>
              </w:rPr>
              <w:t>Flashpoint, Lower Limit</w:t>
            </w:r>
          </w:p>
        </w:tc>
        <w:tc>
          <w:tcPr>
            <w:tcW w:w="2520" w:type="dxa"/>
            <w:shd w:val="clear" w:color="auto" w:fill="auto"/>
            <w:noWrap/>
            <w:vAlign w:val="bottom"/>
          </w:tcPr>
          <w:p w:rsidR="00485B87" w:rsidRPr="00056171" w:rsidRDefault="00B93F02" w:rsidP="00B93F02">
            <w:pPr>
              <w:jc w:val="center"/>
              <w:rPr>
                <w:rFonts w:ascii="Arial" w:hAnsi="Arial" w:cs="Arial"/>
                <w:sz w:val="20"/>
                <w:szCs w:val="20"/>
              </w:rPr>
            </w:pPr>
            <w:r w:rsidRPr="00056171">
              <w:rPr>
                <w:rFonts w:ascii="Arial" w:hAnsi="Arial" w:cs="Arial"/>
                <w:sz w:val="20"/>
                <w:szCs w:val="20"/>
              </w:rPr>
              <w:t>140°F</w:t>
            </w:r>
          </w:p>
        </w:tc>
        <w:tc>
          <w:tcPr>
            <w:tcW w:w="2520" w:type="dxa"/>
            <w:shd w:val="clear" w:color="auto" w:fill="auto"/>
            <w:noWrap/>
            <w:vAlign w:val="bottom"/>
          </w:tcPr>
          <w:p w:rsidR="00485B87" w:rsidRPr="00056171" w:rsidRDefault="00B93F02" w:rsidP="00B93F02">
            <w:pPr>
              <w:jc w:val="center"/>
              <w:rPr>
                <w:rFonts w:ascii="Arial" w:hAnsi="Arial" w:cs="Arial"/>
                <w:sz w:val="20"/>
                <w:szCs w:val="20"/>
              </w:rPr>
            </w:pPr>
            <w:r w:rsidRPr="00056171">
              <w:rPr>
                <w:rFonts w:ascii="Arial" w:hAnsi="Arial" w:cs="Arial"/>
                <w:sz w:val="20"/>
                <w:szCs w:val="20"/>
              </w:rPr>
              <w:t>140°F</w:t>
            </w:r>
          </w:p>
        </w:tc>
      </w:tr>
      <w:tr w:rsidR="00485B87" w:rsidRPr="00056171" w:rsidTr="00B93F02">
        <w:trPr>
          <w:trHeight w:val="255"/>
          <w:jc w:val="center"/>
        </w:trPr>
        <w:tc>
          <w:tcPr>
            <w:tcW w:w="2520" w:type="dxa"/>
            <w:shd w:val="clear" w:color="auto" w:fill="auto"/>
            <w:noWrap/>
            <w:vAlign w:val="bottom"/>
          </w:tcPr>
          <w:p w:rsidR="00485B87" w:rsidRPr="00056171" w:rsidRDefault="00B93F02">
            <w:pPr>
              <w:rPr>
                <w:rFonts w:ascii="Arial" w:hAnsi="Arial" w:cs="Arial"/>
                <w:sz w:val="20"/>
                <w:szCs w:val="20"/>
              </w:rPr>
            </w:pPr>
            <w:r w:rsidRPr="00056171">
              <w:rPr>
                <w:rFonts w:ascii="Arial" w:hAnsi="Arial" w:cs="Arial"/>
                <w:sz w:val="20"/>
                <w:szCs w:val="20"/>
              </w:rPr>
              <w:t>pH, Lower Limit</w:t>
            </w:r>
          </w:p>
        </w:tc>
        <w:tc>
          <w:tcPr>
            <w:tcW w:w="2520" w:type="dxa"/>
            <w:shd w:val="clear" w:color="auto" w:fill="auto"/>
            <w:noWrap/>
            <w:vAlign w:val="bottom"/>
          </w:tcPr>
          <w:p w:rsidR="00485B87" w:rsidRPr="00056171" w:rsidRDefault="00B93F02" w:rsidP="00B93F02">
            <w:pPr>
              <w:jc w:val="center"/>
              <w:rPr>
                <w:rFonts w:ascii="Arial" w:hAnsi="Arial" w:cs="Arial"/>
                <w:sz w:val="20"/>
                <w:szCs w:val="20"/>
              </w:rPr>
            </w:pPr>
            <w:r w:rsidRPr="00056171">
              <w:rPr>
                <w:rFonts w:ascii="Arial" w:hAnsi="Arial" w:cs="Arial"/>
                <w:sz w:val="20"/>
                <w:szCs w:val="20"/>
              </w:rPr>
              <w:t>5.0 s.u.</w:t>
            </w:r>
          </w:p>
        </w:tc>
        <w:tc>
          <w:tcPr>
            <w:tcW w:w="2520" w:type="dxa"/>
            <w:shd w:val="clear" w:color="auto" w:fill="auto"/>
            <w:noWrap/>
            <w:vAlign w:val="bottom"/>
          </w:tcPr>
          <w:p w:rsidR="00485B87" w:rsidRPr="00056171" w:rsidRDefault="00B93F02" w:rsidP="00B93F02">
            <w:pPr>
              <w:jc w:val="center"/>
              <w:rPr>
                <w:rFonts w:ascii="Arial" w:hAnsi="Arial" w:cs="Arial"/>
                <w:sz w:val="20"/>
                <w:szCs w:val="20"/>
              </w:rPr>
            </w:pPr>
            <w:r w:rsidRPr="00056171">
              <w:rPr>
                <w:rFonts w:ascii="Arial" w:hAnsi="Arial" w:cs="Arial"/>
                <w:sz w:val="20"/>
                <w:szCs w:val="20"/>
              </w:rPr>
              <w:t>5.0 s.u.</w:t>
            </w:r>
          </w:p>
        </w:tc>
      </w:tr>
    </w:tbl>
    <w:p w:rsidR="00485B87" w:rsidRPr="00056171" w:rsidRDefault="00485B87" w:rsidP="007316A6">
      <w:pPr>
        <w:rPr>
          <w:rFonts w:ascii="Arial" w:hAnsi="Arial" w:cs="Arial"/>
        </w:rPr>
      </w:pPr>
    </w:p>
    <w:p w:rsidR="00C34919" w:rsidRPr="00056171" w:rsidRDefault="00C34919" w:rsidP="007316A6">
      <w:pPr>
        <w:rPr>
          <w:rFonts w:ascii="Arial" w:hAnsi="Arial" w:cs="Arial"/>
        </w:rPr>
      </w:pPr>
    </w:p>
    <w:p w:rsidR="00AB28CD" w:rsidRPr="00056171" w:rsidRDefault="00AB28CD" w:rsidP="00AB28CD">
      <w:pPr>
        <w:jc w:val="center"/>
        <w:rPr>
          <w:rFonts w:ascii="Arial" w:hAnsi="Arial" w:cs="Arial"/>
          <w:b/>
        </w:rPr>
      </w:pPr>
      <w:r w:rsidRPr="00056171">
        <w:rPr>
          <w:rFonts w:ascii="Arial" w:hAnsi="Arial" w:cs="Arial"/>
          <w:b/>
        </w:rPr>
        <w:t>TABLE 4:  Instantaneous Limits for Hauled Waste</w:t>
      </w:r>
    </w:p>
    <w:tbl>
      <w:tblPr>
        <w:tblW w:w="5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20"/>
        <w:gridCol w:w="2520"/>
      </w:tblGrid>
      <w:tr w:rsidR="00AB28CD" w:rsidRPr="00056171" w:rsidTr="00AB28CD">
        <w:trPr>
          <w:trHeight w:val="512"/>
          <w:jc w:val="center"/>
        </w:trPr>
        <w:tc>
          <w:tcPr>
            <w:tcW w:w="2520" w:type="dxa"/>
            <w:shd w:val="clear" w:color="auto" w:fill="auto"/>
            <w:noWrap/>
            <w:vAlign w:val="bottom"/>
          </w:tcPr>
          <w:p w:rsidR="00AB28CD" w:rsidRPr="00056171" w:rsidRDefault="00AB28CD" w:rsidP="00AB28CD">
            <w:pPr>
              <w:rPr>
                <w:rFonts w:ascii="Arial" w:hAnsi="Arial" w:cs="Arial"/>
                <w:sz w:val="20"/>
                <w:szCs w:val="20"/>
              </w:rPr>
            </w:pPr>
            <w:r w:rsidRPr="00056171">
              <w:rPr>
                <w:rFonts w:ascii="Arial" w:hAnsi="Arial" w:cs="Arial"/>
                <w:sz w:val="20"/>
                <w:szCs w:val="20"/>
              </w:rPr>
              <w:t> </w:t>
            </w:r>
          </w:p>
          <w:p w:rsidR="00AB28CD" w:rsidRPr="00056171" w:rsidRDefault="00AB28CD" w:rsidP="00AB28CD">
            <w:pPr>
              <w:rPr>
                <w:rFonts w:ascii="Arial" w:hAnsi="Arial" w:cs="Arial"/>
                <w:sz w:val="20"/>
                <w:szCs w:val="20"/>
              </w:rPr>
            </w:pPr>
            <w:r w:rsidRPr="00056171">
              <w:rPr>
                <w:rFonts w:ascii="Arial" w:hAnsi="Arial" w:cs="Arial"/>
                <w:sz w:val="20"/>
                <w:szCs w:val="20"/>
              </w:rPr>
              <w:t>Pollutant Property</w:t>
            </w:r>
          </w:p>
        </w:tc>
        <w:tc>
          <w:tcPr>
            <w:tcW w:w="2520" w:type="dxa"/>
            <w:shd w:val="clear" w:color="auto" w:fill="auto"/>
            <w:vAlign w:val="bottom"/>
          </w:tcPr>
          <w:p w:rsidR="00AB28CD" w:rsidRPr="00056171" w:rsidRDefault="00AB28CD" w:rsidP="00AB28CD">
            <w:pPr>
              <w:jc w:val="center"/>
              <w:rPr>
                <w:rFonts w:ascii="Arial" w:hAnsi="Arial" w:cs="Arial"/>
                <w:sz w:val="20"/>
                <w:szCs w:val="20"/>
              </w:rPr>
            </w:pPr>
            <w:r w:rsidRPr="00056171">
              <w:rPr>
                <w:rFonts w:ascii="Arial" w:hAnsi="Arial" w:cs="Arial"/>
                <w:sz w:val="20"/>
                <w:szCs w:val="20"/>
              </w:rPr>
              <w:t>Instantaneous Limit</w:t>
            </w:r>
          </w:p>
        </w:tc>
      </w:tr>
      <w:tr w:rsidR="00AB28CD" w:rsidRPr="00056171" w:rsidTr="00AB28CD">
        <w:trPr>
          <w:trHeight w:val="255"/>
          <w:jc w:val="center"/>
        </w:trPr>
        <w:tc>
          <w:tcPr>
            <w:tcW w:w="2520" w:type="dxa"/>
            <w:shd w:val="clear" w:color="auto" w:fill="auto"/>
            <w:noWrap/>
            <w:vAlign w:val="bottom"/>
          </w:tcPr>
          <w:p w:rsidR="00AB28CD" w:rsidRPr="00056171" w:rsidRDefault="00AB28CD" w:rsidP="00AB28CD">
            <w:pPr>
              <w:rPr>
                <w:rFonts w:ascii="Arial" w:hAnsi="Arial" w:cs="Arial"/>
                <w:sz w:val="20"/>
                <w:szCs w:val="20"/>
              </w:rPr>
            </w:pPr>
            <w:r w:rsidRPr="00056171">
              <w:rPr>
                <w:rFonts w:ascii="Arial" w:hAnsi="Arial" w:cs="Arial"/>
                <w:sz w:val="20"/>
                <w:szCs w:val="20"/>
              </w:rPr>
              <w:t>Flashpoint, Lower Limit</w:t>
            </w:r>
          </w:p>
        </w:tc>
        <w:tc>
          <w:tcPr>
            <w:tcW w:w="2520" w:type="dxa"/>
            <w:shd w:val="clear" w:color="auto" w:fill="auto"/>
            <w:noWrap/>
            <w:vAlign w:val="bottom"/>
          </w:tcPr>
          <w:p w:rsidR="00AB28CD" w:rsidRPr="00056171" w:rsidRDefault="00AB28CD" w:rsidP="00AB28CD">
            <w:pPr>
              <w:jc w:val="center"/>
              <w:rPr>
                <w:rFonts w:ascii="Arial" w:hAnsi="Arial" w:cs="Arial"/>
                <w:sz w:val="20"/>
                <w:szCs w:val="20"/>
              </w:rPr>
            </w:pPr>
            <w:r w:rsidRPr="00056171">
              <w:rPr>
                <w:rFonts w:ascii="Arial" w:hAnsi="Arial" w:cs="Arial"/>
                <w:sz w:val="20"/>
                <w:szCs w:val="20"/>
              </w:rPr>
              <w:t>140°F</w:t>
            </w:r>
          </w:p>
        </w:tc>
      </w:tr>
      <w:tr w:rsidR="00AB28CD" w:rsidRPr="00056171" w:rsidTr="00AB28CD">
        <w:trPr>
          <w:trHeight w:val="255"/>
          <w:jc w:val="center"/>
        </w:trPr>
        <w:tc>
          <w:tcPr>
            <w:tcW w:w="2520" w:type="dxa"/>
            <w:shd w:val="clear" w:color="auto" w:fill="auto"/>
            <w:noWrap/>
            <w:vAlign w:val="bottom"/>
          </w:tcPr>
          <w:p w:rsidR="00AB28CD" w:rsidRPr="00056171" w:rsidRDefault="00AB28CD" w:rsidP="00AB28CD">
            <w:pPr>
              <w:rPr>
                <w:rFonts w:ascii="Arial" w:hAnsi="Arial" w:cs="Arial"/>
                <w:sz w:val="20"/>
                <w:szCs w:val="20"/>
              </w:rPr>
            </w:pPr>
            <w:r w:rsidRPr="00056171">
              <w:rPr>
                <w:rFonts w:ascii="Arial" w:hAnsi="Arial" w:cs="Arial"/>
                <w:sz w:val="20"/>
                <w:szCs w:val="20"/>
              </w:rPr>
              <w:t>pH, Lower Limit</w:t>
            </w:r>
          </w:p>
        </w:tc>
        <w:tc>
          <w:tcPr>
            <w:tcW w:w="2520" w:type="dxa"/>
            <w:shd w:val="clear" w:color="auto" w:fill="auto"/>
            <w:noWrap/>
            <w:vAlign w:val="bottom"/>
          </w:tcPr>
          <w:p w:rsidR="00AB28CD" w:rsidRPr="00056171" w:rsidRDefault="00586959" w:rsidP="00AB28CD">
            <w:pPr>
              <w:jc w:val="center"/>
              <w:rPr>
                <w:rFonts w:ascii="Arial" w:hAnsi="Arial" w:cs="Arial"/>
                <w:sz w:val="20"/>
                <w:szCs w:val="20"/>
              </w:rPr>
            </w:pPr>
            <w:r w:rsidRPr="00056171">
              <w:rPr>
                <w:rFonts w:ascii="Arial" w:hAnsi="Arial" w:cs="Arial"/>
                <w:sz w:val="20"/>
                <w:szCs w:val="20"/>
              </w:rPr>
              <w:t>3</w:t>
            </w:r>
            <w:r w:rsidR="00AB28CD" w:rsidRPr="00056171">
              <w:rPr>
                <w:rFonts w:ascii="Arial" w:hAnsi="Arial" w:cs="Arial"/>
                <w:sz w:val="20"/>
                <w:szCs w:val="20"/>
              </w:rPr>
              <w:t>.0 s.u.</w:t>
            </w:r>
          </w:p>
        </w:tc>
      </w:tr>
      <w:tr w:rsidR="00AB28CD" w:rsidRPr="00056171" w:rsidTr="00AB28CD">
        <w:trPr>
          <w:trHeight w:val="255"/>
          <w:jc w:val="center"/>
        </w:trPr>
        <w:tc>
          <w:tcPr>
            <w:tcW w:w="2520" w:type="dxa"/>
            <w:shd w:val="clear" w:color="auto" w:fill="auto"/>
            <w:noWrap/>
            <w:vAlign w:val="bottom"/>
          </w:tcPr>
          <w:p w:rsidR="00AB28CD" w:rsidRPr="00056171" w:rsidRDefault="00AB28CD" w:rsidP="00AB28CD">
            <w:pPr>
              <w:rPr>
                <w:rFonts w:ascii="Arial" w:hAnsi="Arial" w:cs="Arial"/>
                <w:sz w:val="20"/>
                <w:szCs w:val="20"/>
              </w:rPr>
            </w:pPr>
            <w:r w:rsidRPr="00056171">
              <w:rPr>
                <w:rFonts w:ascii="Arial" w:hAnsi="Arial" w:cs="Arial"/>
                <w:sz w:val="20"/>
                <w:szCs w:val="20"/>
              </w:rPr>
              <w:t>pH, Upper Limit</w:t>
            </w:r>
          </w:p>
        </w:tc>
        <w:tc>
          <w:tcPr>
            <w:tcW w:w="2520" w:type="dxa"/>
            <w:shd w:val="clear" w:color="auto" w:fill="auto"/>
            <w:noWrap/>
            <w:vAlign w:val="bottom"/>
          </w:tcPr>
          <w:p w:rsidR="00AB28CD" w:rsidRPr="00056171" w:rsidRDefault="00AB28CD" w:rsidP="00AB28CD">
            <w:pPr>
              <w:jc w:val="center"/>
              <w:rPr>
                <w:rFonts w:ascii="Arial" w:hAnsi="Arial" w:cs="Arial"/>
                <w:sz w:val="20"/>
                <w:szCs w:val="20"/>
              </w:rPr>
            </w:pPr>
            <w:r w:rsidRPr="00056171">
              <w:rPr>
                <w:rFonts w:ascii="Arial" w:hAnsi="Arial" w:cs="Arial"/>
                <w:sz w:val="20"/>
                <w:szCs w:val="20"/>
              </w:rPr>
              <w:t>12.5 s.u.</w:t>
            </w:r>
          </w:p>
        </w:tc>
      </w:tr>
    </w:tbl>
    <w:p w:rsidR="00AB28CD" w:rsidRPr="00056171" w:rsidRDefault="00AB28CD" w:rsidP="007316A6">
      <w:pPr>
        <w:rPr>
          <w:rFonts w:ascii="Arial" w:hAnsi="Arial" w:cs="Arial"/>
        </w:rPr>
      </w:pPr>
    </w:p>
    <w:p w:rsidR="00485B87" w:rsidRPr="00056171" w:rsidRDefault="00F04818" w:rsidP="007316A6">
      <w:pPr>
        <w:rPr>
          <w:rFonts w:ascii="Arial" w:hAnsi="Arial" w:cs="Arial"/>
        </w:rPr>
      </w:pPr>
      <w:r w:rsidRPr="00056171">
        <w:rPr>
          <w:rFonts w:ascii="Arial" w:hAnsi="Arial" w:cs="Arial"/>
        </w:rPr>
        <w:t>It should be noted that, although Table 4 lists only three limits applying to hauled waste, if any hauled waste should be generated by an industry falling within a Federal category as defined in 40CFR</w:t>
      </w:r>
      <w:r w:rsidR="00C527DC" w:rsidRPr="00056171">
        <w:rPr>
          <w:rFonts w:ascii="Arial" w:hAnsi="Arial" w:cs="Arial"/>
        </w:rPr>
        <w:t xml:space="preserve"> Parts 401-471</w:t>
      </w:r>
      <w:r w:rsidR="008E540D" w:rsidRPr="00056171">
        <w:rPr>
          <w:rFonts w:ascii="Arial" w:hAnsi="Arial" w:cs="Arial"/>
        </w:rPr>
        <w:t xml:space="preserve">, all the limits </w:t>
      </w:r>
      <w:r w:rsidR="00FC56DA" w:rsidRPr="00056171">
        <w:rPr>
          <w:rFonts w:ascii="Arial" w:hAnsi="Arial" w:cs="Arial"/>
        </w:rPr>
        <w:t xml:space="preserve">that are assigned to that </w:t>
      </w:r>
      <w:r w:rsidR="00C86FA7" w:rsidRPr="00056171">
        <w:rPr>
          <w:rFonts w:ascii="Arial" w:hAnsi="Arial" w:cs="Arial"/>
        </w:rPr>
        <w:t>industry</w:t>
      </w:r>
      <w:r w:rsidR="00FC56DA" w:rsidRPr="00056171">
        <w:rPr>
          <w:rFonts w:ascii="Arial" w:hAnsi="Arial" w:cs="Arial"/>
        </w:rPr>
        <w:t xml:space="preserve"> in the Federal regulations will be applied to the hauled waste</w:t>
      </w:r>
      <w:r w:rsidR="00C86FA7" w:rsidRPr="00056171">
        <w:rPr>
          <w:rFonts w:ascii="Arial" w:hAnsi="Arial" w:cs="Arial"/>
        </w:rPr>
        <w:t xml:space="preserve"> as well</w:t>
      </w:r>
      <w:r w:rsidR="00FC56DA" w:rsidRPr="00056171">
        <w:rPr>
          <w:rFonts w:ascii="Arial" w:hAnsi="Arial" w:cs="Arial"/>
        </w:rPr>
        <w:t xml:space="preserve">.  </w:t>
      </w:r>
    </w:p>
    <w:p w:rsidR="00F021D5" w:rsidRPr="00056171" w:rsidRDefault="00F021D5" w:rsidP="00E72CCE">
      <w:pPr>
        <w:rPr>
          <w:rFonts w:ascii="Arial" w:hAnsi="Arial" w:cs="Arial"/>
          <w:sz w:val="28"/>
          <w:szCs w:val="28"/>
        </w:rPr>
      </w:pPr>
    </w:p>
    <w:p w:rsidR="00E72CCE" w:rsidRPr="00056171" w:rsidRDefault="00FF4C3F" w:rsidP="00E72CCE">
      <w:pPr>
        <w:rPr>
          <w:rFonts w:ascii="Arial" w:hAnsi="Arial" w:cs="Arial"/>
          <w:sz w:val="28"/>
          <w:szCs w:val="28"/>
        </w:rPr>
      </w:pPr>
      <w:r w:rsidRPr="00056171">
        <w:rPr>
          <w:sz w:val="32"/>
          <w:szCs w:val="32"/>
        </w:rPr>
        <w:t>I</w:t>
      </w:r>
      <w:r w:rsidR="00502782" w:rsidRPr="00056171">
        <w:rPr>
          <w:sz w:val="32"/>
          <w:szCs w:val="32"/>
        </w:rPr>
        <w:t>V</w:t>
      </w:r>
      <w:r w:rsidRPr="00056171">
        <w:rPr>
          <w:rFonts w:ascii="Arial" w:hAnsi="Arial" w:cs="Arial"/>
          <w:sz w:val="28"/>
          <w:szCs w:val="28"/>
        </w:rPr>
        <w:t xml:space="preserve">. </w:t>
      </w:r>
      <w:r w:rsidR="00E72CCE" w:rsidRPr="00056171">
        <w:rPr>
          <w:rFonts w:ascii="Arial" w:hAnsi="Arial" w:cs="Arial"/>
          <w:sz w:val="28"/>
          <w:szCs w:val="28"/>
        </w:rPr>
        <w:t>MCWMS Headworks Loading Tracking</w:t>
      </w:r>
    </w:p>
    <w:p w:rsidR="00E72CCE" w:rsidRPr="00056171" w:rsidRDefault="00E72CCE" w:rsidP="00E72CCE">
      <w:pPr>
        <w:rPr>
          <w:rFonts w:ascii="Arial" w:hAnsi="Arial" w:cs="Arial"/>
        </w:rPr>
      </w:pPr>
    </w:p>
    <w:p w:rsidR="00E72CCE" w:rsidRPr="00056171" w:rsidRDefault="00623744" w:rsidP="00E72CCE">
      <w:pPr>
        <w:rPr>
          <w:rFonts w:ascii="Arial" w:hAnsi="Arial" w:cs="Arial"/>
        </w:rPr>
      </w:pPr>
      <w:r w:rsidRPr="00056171">
        <w:rPr>
          <w:rFonts w:ascii="Arial" w:hAnsi="Arial" w:cs="Arial"/>
        </w:rPr>
        <w:t>Tracking the pollutant loading that enters the wastewater treatment plant requires</w:t>
      </w:r>
      <w:r w:rsidR="00C44C16" w:rsidRPr="00056171">
        <w:rPr>
          <w:rFonts w:ascii="Arial" w:hAnsi="Arial" w:cs="Arial"/>
        </w:rPr>
        <w:t xml:space="preserve"> </w:t>
      </w:r>
      <w:r w:rsidRPr="00056171">
        <w:rPr>
          <w:rFonts w:ascii="Arial" w:hAnsi="Arial" w:cs="Arial"/>
        </w:rPr>
        <w:t>sampling, testing</w:t>
      </w:r>
      <w:r w:rsidR="00170E5B" w:rsidRPr="00056171">
        <w:rPr>
          <w:rFonts w:ascii="Arial" w:hAnsi="Arial" w:cs="Arial"/>
        </w:rPr>
        <w:t>, and evaluation</w:t>
      </w:r>
      <w:r w:rsidRPr="00056171">
        <w:rPr>
          <w:rFonts w:ascii="Arial" w:hAnsi="Arial" w:cs="Arial"/>
        </w:rPr>
        <w:t xml:space="preserve"> at the headwor</w:t>
      </w:r>
      <w:r w:rsidR="00170E5B" w:rsidRPr="00056171">
        <w:rPr>
          <w:rFonts w:ascii="Arial" w:hAnsi="Arial" w:cs="Arial"/>
        </w:rPr>
        <w:t>ks</w:t>
      </w:r>
      <w:r w:rsidRPr="00056171">
        <w:rPr>
          <w:rFonts w:ascii="Arial" w:hAnsi="Arial" w:cs="Arial"/>
        </w:rPr>
        <w:t>.</w:t>
      </w:r>
      <w:r w:rsidR="00170E5B" w:rsidRPr="00056171">
        <w:rPr>
          <w:rFonts w:ascii="Arial" w:hAnsi="Arial" w:cs="Arial"/>
        </w:rPr>
        <w:t xml:space="preserve">  </w:t>
      </w:r>
      <w:r w:rsidR="0042254A" w:rsidRPr="00056171">
        <w:rPr>
          <w:rFonts w:ascii="Arial" w:hAnsi="Arial" w:cs="Arial"/>
        </w:rPr>
        <w:t xml:space="preserve">This is to ensure that the </w:t>
      </w:r>
      <w:r w:rsidR="00F94314" w:rsidRPr="00056171">
        <w:rPr>
          <w:rFonts w:ascii="Arial" w:hAnsi="Arial" w:cs="Arial"/>
        </w:rPr>
        <w:t>plant</w:t>
      </w:r>
      <w:r w:rsidR="0042254A" w:rsidRPr="00056171">
        <w:rPr>
          <w:rFonts w:ascii="Arial" w:hAnsi="Arial" w:cs="Arial"/>
        </w:rPr>
        <w:t xml:space="preserve"> does not receive a greater loading than it can treat.  </w:t>
      </w:r>
      <w:r w:rsidR="00170E5B" w:rsidRPr="00056171">
        <w:rPr>
          <w:rFonts w:ascii="Arial" w:hAnsi="Arial" w:cs="Arial"/>
        </w:rPr>
        <w:t xml:space="preserve">To monitor the pollutant loadings received by the wastewater treatment plant, </w:t>
      </w:r>
      <w:r w:rsidR="00E72CCE" w:rsidRPr="00056171">
        <w:rPr>
          <w:rFonts w:ascii="Arial" w:hAnsi="Arial" w:cs="Arial"/>
        </w:rPr>
        <w:t xml:space="preserve">MCWMS generates a monthly report showing the headworks loading for each pollutant.  </w:t>
      </w:r>
      <w:r w:rsidR="00E2390B" w:rsidRPr="00056171">
        <w:rPr>
          <w:rFonts w:ascii="Arial" w:hAnsi="Arial" w:cs="Arial"/>
        </w:rPr>
        <w:t xml:space="preserve">This headworks loading is the combined loading of not only the main sewered influent, but also hauled waste and the three outfalls from Muskegon County Solid Waste, which discharges directly into the MCWMS east storage lagoon.  </w:t>
      </w:r>
      <w:r w:rsidR="00E72CCE" w:rsidRPr="00056171">
        <w:rPr>
          <w:rFonts w:ascii="Arial" w:hAnsi="Arial" w:cs="Arial"/>
        </w:rPr>
        <w:t>Th</w:t>
      </w:r>
      <w:r w:rsidR="00E2390B" w:rsidRPr="00056171">
        <w:rPr>
          <w:rFonts w:ascii="Arial" w:hAnsi="Arial" w:cs="Arial"/>
        </w:rPr>
        <w:t>e</w:t>
      </w:r>
      <w:r w:rsidR="00E72CCE" w:rsidRPr="00056171">
        <w:rPr>
          <w:rFonts w:ascii="Arial" w:hAnsi="Arial" w:cs="Arial"/>
        </w:rPr>
        <w:t xml:space="preserve"> report </w:t>
      </w:r>
      <w:r w:rsidR="00052467" w:rsidRPr="00056171">
        <w:rPr>
          <w:rFonts w:ascii="Arial" w:hAnsi="Arial" w:cs="Arial"/>
        </w:rPr>
        <w:t xml:space="preserve">shows </w:t>
      </w:r>
      <w:r w:rsidR="00E2390B" w:rsidRPr="00056171">
        <w:rPr>
          <w:rFonts w:ascii="Arial" w:hAnsi="Arial" w:cs="Arial"/>
        </w:rPr>
        <w:t xml:space="preserve">both the </w:t>
      </w:r>
      <w:r w:rsidR="00052467" w:rsidRPr="00056171">
        <w:rPr>
          <w:rFonts w:ascii="Arial" w:hAnsi="Arial" w:cs="Arial"/>
        </w:rPr>
        <w:t>daily loadings and the monthly average loadings</w:t>
      </w:r>
      <w:r w:rsidR="00E2390B" w:rsidRPr="00056171">
        <w:rPr>
          <w:rFonts w:ascii="Arial" w:hAnsi="Arial" w:cs="Arial"/>
        </w:rPr>
        <w:t xml:space="preserve"> for each pollutant</w:t>
      </w:r>
      <w:r w:rsidR="00052467" w:rsidRPr="00056171">
        <w:rPr>
          <w:rFonts w:ascii="Arial" w:hAnsi="Arial" w:cs="Arial"/>
        </w:rPr>
        <w:t xml:space="preserve"> so that they can be compared to the </w:t>
      </w:r>
      <w:r w:rsidR="00E2390B" w:rsidRPr="00056171">
        <w:rPr>
          <w:rFonts w:ascii="Arial" w:hAnsi="Arial" w:cs="Arial"/>
        </w:rPr>
        <w:t xml:space="preserve">respective </w:t>
      </w:r>
      <w:r w:rsidR="00052467" w:rsidRPr="00056171">
        <w:rPr>
          <w:rFonts w:ascii="Arial" w:hAnsi="Arial" w:cs="Arial"/>
        </w:rPr>
        <w:t xml:space="preserve">daily maximum and monthly average MAHLs.  The report </w:t>
      </w:r>
      <w:r w:rsidR="00E72CCE" w:rsidRPr="00056171">
        <w:rPr>
          <w:rFonts w:ascii="Arial" w:hAnsi="Arial" w:cs="Arial"/>
        </w:rPr>
        <w:t>include</w:t>
      </w:r>
      <w:r w:rsidR="00170E5B" w:rsidRPr="00056171">
        <w:rPr>
          <w:rFonts w:ascii="Arial" w:hAnsi="Arial" w:cs="Arial"/>
        </w:rPr>
        <w:t>s many more pollutants than</w:t>
      </w:r>
      <w:r w:rsidR="00E72CCE" w:rsidRPr="00056171">
        <w:rPr>
          <w:rFonts w:ascii="Arial" w:hAnsi="Arial" w:cs="Arial"/>
        </w:rPr>
        <w:t xml:space="preserve"> just </w:t>
      </w:r>
      <w:r w:rsidR="00170E5B" w:rsidRPr="00056171">
        <w:rPr>
          <w:rFonts w:ascii="Arial" w:hAnsi="Arial" w:cs="Arial"/>
        </w:rPr>
        <w:t xml:space="preserve">those that occur in the table of local limits.  MCWMS has </w:t>
      </w:r>
      <w:r w:rsidR="00814306" w:rsidRPr="00056171">
        <w:rPr>
          <w:rFonts w:ascii="Arial" w:hAnsi="Arial" w:cs="Arial"/>
        </w:rPr>
        <w:t>developed</w:t>
      </w:r>
      <w:r w:rsidR="00170E5B" w:rsidRPr="00056171">
        <w:rPr>
          <w:rFonts w:ascii="Arial" w:hAnsi="Arial" w:cs="Arial"/>
        </w:rPr>
        <w:t xml:space="preserve"> MAHL</w:t>
      </w:r>
      <w:r w:rsidR="00814306" w:rsidRPr="00056171">
        <w:rPr>
          <w:rFonts w:ascii="Arial" w:hAnsi="Arial" w:cs="Arial"/>
        </w:rPr>
        <w:t xml:space="preserve">s for </w:t>
      </w:r>
      <w:r w:rsidR="00052467" w:rsidRPr="00056171">
        <w:rPr>
          <w:rFonts w:ascii="Arial" w:hAnsi="Arial" w:cs="Arial"/>
        </w:rPr>
        <w:t>most of</w:t>
      </w:r>
      <w:r w:rsidR="00814306" w:rsidRPr="00056171">
        <w:rPr>
          <w:rFonts w:ascii="Arial" w:hAnsi="Arial" w:cs="Arial"/>
        </w:rPr>
        <w:t xml:space="preserve"> the pollutants for which it routinely tests.  </w:t>
      </w:r>
      <w:r w:rsidR="00052467" w:rsidRPr="00056171">
        <w:rPr>
          <w:rFonts w:ascii="Arial" w:hAnsi="Arial" w:cs="Arial"/>
        </w:rPr>
        <w:t xml:space="preserve">Limits were published for only a handful of them.  </w:t>
      </w:r>
    </w:p>
    <w:p w:rsidR="00E72CCE" w:rsidRPr="00056171" w:rsidRDefault="00E72CCE" w:rsidP="00E72CCE">
      <w:pPr>
        <w:rPr>
          <w:rFonts w:ascii="Arial" w:hAnsi="Arial" w:cs="Arial"/>
        </w:rPr>
      </w:pPr>
    </w:p>
    <w:p w:rsidR="00FD1B35" w:rsidRDefault="00FD1B35">
      <w:pPr>
        <w:rPr>
          <w:rFonts w:ascii="Arial" w:hAnsi="Arial" w:cs="Arial"/>
        </w:rPr>
      </w:pPr>
      <w:r>
        <w:rPr>
          <w:rFonts w:ascii="Arial" w:hAnsi="Arial" w:cs="Arial"/>
        </w:rPr>
        <w:br w:type="page"/>
      </w:r>
    </w:p>
    <w:p w:rsidR="00682AA7" w:rsidRPr="00056171" w:rsidRDefault="00734926" w:rsidP="00682AA7">
      <w:pPr>
        <w:rPr>
          <w:rFonts w:ascii="Arial" w:hAnsi="Arial" w:cs="Arial"/>
        </w:rPr>
      </w:pPr>
      <w:r w:rsidRPr="00056171">
        <w:rPr>
          <w:rFonts w:ascii="Arial" w:hAnsi="Arial" w:cs="Arial"/>
        </w:rPr>
        <w:lastRenderedPageBreak/>
        <w:t xml:space="preserve">This report </w:t>
      </w:r>
      <w:r w:rsidR="00E712D1" w:rsidRPr="00056171">
        <w:rPr>
          <w:rFonts w:ascii="Arial" w:hAnsi="Arial" w:cs="Arial"/>
        </w:rPr>
        <w:t xml:space="preserve">is part of </w:t>
      </w:r>
      <w:r w:rsidRPr="00056171">
        <w:rPr>
          <w:rFonts w:ascii="Arial" w:hAnsi="Arial" w:cs="Arial"/>
        </w:rPr>
        <w:t xml:space="preserve">the </w:t>
      </w:r>
      <w:r w:rsidR="00E712D1" w:rsidRPr="00056171">
        <w:rPr>
          <w:rFonts w:ascii="Arial" w:hAnsi="Arial" w:cs="Arial"/>
        </w:rPr>
        <w:t>MCWMS Monthly Operating Report</w:t>
      </w:r>
      <w:r w:rsidR="00F94314" w:rsidRPr="00056171">
        <w:rPr>
          <w:rFonts w:ascii="Arial" w:hAnsi="Arial" w:cs="Arial"/>
        </w:rPr>
        <w:t>.  I</w:t>
      </w:r>
      <w:r w:rsidR="00325BAC" w:rsidRPr="00056171">
        <w:rPr>
          <w:rFonts w:ascii="Arial" w:hAnsi="Arial" w:cs="Arial"/>
        </w:rPr>
        <w:t xml:space="preserve">f </w:t>
      </w:r>
      <w:r w:rsidR="00F94314" w:rsidRPr="00056171">
        <w:rPr>
          <w:rFonts w:ascii="Arial" w:hAnsi="Arial" w:cs="Arial"/>
        </w:rPr>
        <w:t xml:space="preserve">the report indicates that </w:t>
      </w:r>
      <w:r w:rsidR="00325BAC" w:rsidRPr="00056171">
        <w:rPr>
          <w:rFonts w:ascii="Arial" w:hAnsi="Arial" w:cs="Arial"/>
        </w:rPr>
        <w:t xml:space="preserve">a pollutant’s loading exceeds its MAHL </w:t>
      </w:r>
      <w:r w:rsidR="00115EA9" w:rsidRPr="00056171">
        <w:rPr>
          <w:rFonts w:ascii="Arial" w:hAnsi="Arial" w:cs="Arial"/>
        </w:rPr>
        <w:t>(</w:t>
      </w:r>
      <w:r w:rsidR="00325BAC" w:rsidRPr="00056171">
        <w:rPr>
          <w:rFonts w:ascii="Arial" w:hAnsi="Arial" w:cs="Arial"/>
        </w:rPr>
        <w:t xml:space="preserve">or </w:t>
      </w:r>
      <w:r w:rsidR="00115EA9" w:rsidRPr="00056171">
        <w:rPr>
          <w:rFonts w:ascii="Arial" w:hAnsi="Arial" w:cs="Arial"/>
        </w:rPr>
        <w:t xml:space="preserve">merely comes close to </w:t>
      </w:r>
      <w:r w:rsidR="00325BAC" w:rsidRPr="00056171">
        <w:rPr>
          <w:rFonts w:ascii="Arial" w:hAnsi="Arial" w:cs="Arial"/>
        </w:rPr>
        <w:t>exceed</w:t>
      </w:r>
      <w:r w:rsidR="00115EA9" w:rsidRPr="00056171">
        <w:rPr>
          <w:rFonts w:ascii="Arial" w:hAnsi="Arial" w:cs="Arial"/>
        </w:rPr>
        <w:t xml:space="preserve">ing </w:t>
      </w:r>
      <w:r w:rsidR="00325BAC" w:rsidRPr="00056171">
        <w:rPr>
          <w:rFonts w:ascii="Arial" w:hAnsi="Arial" w:cs="Arial"/>
        </w:rPr>
        <w:t>it</w:t>
      </w:r>
      <w:r w:rsidR="00115EA9" w:rsidRPr="00056171">
        <w:rPr>
          <w:rFonts w:ascii="Arial" w:hAnsi="Arial" w:cs="Arial"/>
        </w:rPr>
        <w:t>)</w:t>
      </w:r>
      <w:r w:rsidR="00325BAC" w:rsidRPr="00056171">
        <w:rPr>
          <w:rFonts w:ascii="Arial" w:hAnsi="Arial" w:cs="Arial"/>
        </w:rPr>
        <w:t xml:space="preserve">, </w:t>
      </w:r>
      <w:r w:rsidR="00115EA9" w:rsidRPr="00056171">
        <w:rPr>
          <w:rFonts w:ascii="Arial" w:hAnsi="Arial" w:cs="Arial"/>
        </w:rPr>
        <w:t xml:space="preserve">it can be noticed quickly and </w:t>
      </w:r>
      <w:r w:rsidR="00325BAC" w:rsidRPr="00056171">
        <w:rPr>
          <w:rFonts w:ascii="Arial" w:hAnsi="Arial" w:cs="Arial"/>
        </w:rPr>
        <w:t>action</w:t>
      </w:r>
      <w:r w:rsidR="0042254A" w:rsidRPr="00056171">
        <w:rPr>
          <w:rFonts w:ascii="Arial" w:hAnsi="Arial" w:cs="Arial"/>
        </w:rPr>
        <w:t xml:space="preserve"> can</w:t>
      </w:r>
      <w:r w:rsidR="00325BAC" w:rsidRPr="00056171">
        <w:rPr>
          <w:rFonts w:ascii="Arial" w:hAnsi="Arial" w:cs="Arial"/>
        </w:rPr>
        <w:t xml:space="preserve"> be</w:t>
      </w:r>
      <w:r w:rsidR="00CD41B1" w:rsidRPr="00056171">
        <w:rPr>
          <w:rFonts w:ascii="Arial" w:hAnsi="Arial" w:cs="Arial"/>
        </w:rPr>
        <w:t xml:space="preserve"> t</w:t>
      </w:r>
      <w:r w:rsidR="00325BAC" w:rsidRPr="00056171">
        <w:rPr>
          <w:rFonts w:ascii="Arial" w:hAnsi="Arial" w:cs="Arial"/>
        </w:rPr>
        <w:t>aken to address the issue.</w:t>
      </w:r>
      <w:r w:rsidR="00682AA7" w:rsidRPr="00056171">
        <w:rPr>
          <w:rFonts w:ascii="Arial" w:hAnsi="Arial" w:cs="Arial"/>
        </w:rPr>
        <w:t xml:space="preserve">  </w:t>
      </w:r>
      <w:r w:rsidR="001E343A" w:rsidRPr="00056171">
        <w:rPr>
          <w:rFonts w:ascii="Arial" w:hAnsi="Arial" w:cs="Arial"/>
        </w:rPr>
        <w:t xml:space="preserve">If a daily or monthly average loading exceeds a MAHL, it appears </w:t>
      </w:r>
      <w:r w:rsidR="00335664" w:rsidRPr="00C95CE3">
        <w:rPr>
          <w:rFonts w:ascii="Arial" w:hAnsi="Arial" w:cs="Arial"/>
        </w:rPr>
        <w:t>highlighted</w:t>
      </w:r>
      <w:r w:rsidR="001E343A" w:rsidRPr="00056171">
        <w:rPr>
          <w:rFonts w:ascii="Arial" w:hAnsi="Arial" w:cs="Arial"/>
        </w:rPr>
        <w:t xml:space="preserve"> in the report.  </w:t>
      </w:r>
      <w:r w:rsidR="00682AA7" w:rsidRPr="00056171">
        <w:rPr>
          <w:rFonts w:ascii="Arial" w:hAnsi="Arial" w:cs="Arial"/>
        </w:rPr>
        <w:t xml:space="preserve">A </w:t>
      </w:r>
      <w:r w:rsidR="001E343A" w:rsidRPr="00056171">
        <w:rPr>
          <w:rFonts w:ascii="Arial" w:hAnsi="Arial" w:cs="Arial"/>
        </w:rPr>
        <w:t xml:space="preserve">sample </w:t>
      </w:r>
      <w:r w:rsidR="00E712D1" w:rsidRPr="00056171">
        <w:rPr>
          <w:rFonts w:ascii="Arial" w:hAnsi="Arial" w:cs="Arial"/>
        </w:rPr>
        <w:t xml:space="preserve">portion </w:t>
      </w:r>
      <w:r w:rsidR="00682AA7" w:rsidRPr="00056171">
        <w:rPr>
          <w:rFonts w:ascii="Arial" w:hAnsi="Arial" w:cs="Arial"/>
        </w:rPr>
        <w:t>of this monthly report</w:t>
      </w:r>
      <w:r w:rsidR="00607644" w:rsidRPr="00056171">
        <w:rPr>
          <w:rFonts w:ascii="Arial" w:hAnsi="Arial" w:cs="Arial"/>
        </w:rPr>
        <w:t xml:space="preserve"> </w:t>
      </w:r>
      <w:r w:rsidR="00E712D1" w:rsidRPr="00056171">
        <w:rPr>
          <w:rFonts w:ascii="Arial" w:hAnsi="Arial" w:cs="Arial"/>
        </w:rPr>
        <w:t>is shown here.</w:t>
      </w:r>
    </w:p>
    <w:p w:rsidR="00B205C6" w:rsidRPr="00056171" w:rsidRDefault="00B205C6">
      <w:pPr>
        <w:rPr>
          <w:rFonts w:ascii="Arial" w:hAnsi="Arial" w:cs="Arial"/>
        </w:rPr>
      </w:pPr>
    </w:p>
    <w:p w:rsidR="004F642F" w:rsidRPr="00056171" w:rsidRDefault="004F642F">
      <w:pPr>
        <w:rPr>
          <w:rFonts w:ascii="Arial" w:hAnsi="Arial" w:cs="Arial"/>
        </w:rPr>
      </w:pPr>
    </w:p>
    <w:p w:rsidR="00F94314" w:rsidRPr="00056171" w:rsidRDefault="004F642F" w:rsidP="004F642F">
      <w:pPr>
        <w:jc w:val="center"/>
        <w:rPr>
          <w:rFonts w:ascii="Arial" w:hAnsi="Arial" w:cs="Arial"/>
          <w:b/>
        </w:rPr>
      </w:pPr>
      <w:r w:rsidRPr="00056171">
        <w:rPr>
          <w:rFonts w:ascii="Arial" w:hAnsi="Arial" w:cs="Arial"/>
          <w:b/>
        </w:rPr>
        <w:t xml:space="preserve">TABLE </w:t>
      </w:r>
      <w:r w:rsidR="000F7E0B" w:rsidRPr="00056171">
        <w:rPr>
          <w:rFonts w:ascii="Arial" w:hAnsi="Arial" w:cs="Arial"/>
          <w:b/>
        </w:rPr>
        <w:t>5</w:t>
      </w:r>
      <w:r w:rsidRPr="00056171">
        <w:rPr>
          <w:rFonts w:ascii="Arial" w:hAnsi="Arial" w:cs="Arial"/>
          <w:b/>
        </w:rPr>
        <w:t xml:space="preserve">:  </w:t>
      </w:r>
      <w:r w:rsidR="00125263" w:rsidRPr="00056171">
        <w:rPr>
          <w:rFonts w:ascii="Arial" w:hAnsi="Arial" w:cs="Arial"/>
          <w:b/>
        </w:rPr>
        <w:t>Excerpt from the Total Pollutant Loading from the MCWMS Monthly Operating Report</w:t>
      </w:r>
    </w:p>
    <w:p w:rsidR="00B777DD" w:rsidRPr="00056171" w:rsidRDefault="00F867DC" w:rsidP="001945AA">
      <w:pPr>
        <w:jc w:val="center"/>
        <w:rPr>
          <w:rFonts w:ascii="Arial" w:hAnsi="Arial" w:cs="Arial"/>
        </w:rPr>
      </w:pPr>
      <w:r w:rsidRPr="00056171">
        <w:rPr>
          <w:rFonts w:ascii="Arial" w:hAnsi="Arial" w:cs="Arial"/>
          <w:noProof/>
        </w:rPr>
        <w:drawing>
          <wp:inline distT="0" distB="0" distL="0" distR="0" wp14:anchorId="15EC9E24" wp14:editId="317B9A0E">
            <wp:extent cx="5581650" cy="647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6477000"/>
                    </a:xfrm>
                    <a:prstGeom prst="rect">
                      <a:avLst/>
                    </a:prstGeom>
                    <a:noFill/>
                    <a:ln>
                      <a:noFill/>
                    </a:ln>
                  </pic:spPr>
                </pic:pic>
              </a:graphicData>
            </a:graphic>
          </wp:inline>
        </w:drawing>
      </w:r>
    </w:p>
    <w:p w:rsidR="00F94314" w:rsidRPr="00056171" w:rsidRDefault="00F94314">
      <w:pPr>
        <w:rPr>
          <w:rFonts w:ascii="Arial" w:hAnsi="Arial" w:cs="Arial"/>
          <w:sz w:val="28"/>
          <w:szCs w:val="28"/>
        </w:rPr>
      </w:pPr>
    </w:p>
    <w:p w:rsidR="00F94314" w:rsidRPr="00056171" w:rsidRDefault="00F94314">
      <w:pPr>
        <w:rPr>
          <w:rFonts w:ascii="Arial" w:hAnsi="Arial" w:cs="Arial"/>
          <w:sz w:val="28"/>
          <w:szCs w:val="28"/>
        </w:rPr>
      </w:pPr>
    </w:p>
    <w:p w:rsidR="00FD1B35" w:rsidRDefault="00FD1B35">
      <w:pPr>
        <w:rPr>
          <w:rFonts w:ascii="Arial" w:hAnsi="Arial" w:cs="Arial"/>
        </w:rPr>
      </w:pPr>
      <w:r>
        <w:rPr>
          <w:rFonts w:ascii="Arial" w:hAnsi="Arial" w:cs="Arial"/>
        </w:rPr>
        <w:br w:type="page"/>
      </w:r>
    </w:p>
    <w:p w:rsidR="00734926" w:rsidRPr="00056171" w:rsidRDefault="002101C5">
      <w:pPr>
        <w:rPr>
          <w:rFonts w:ascii="Arial" w:hAnsi="Arial" w:cs="Arial"/>
        </w:rPr>
      </w:pPr>
      <w:r w:rsidRPr="00056171">
        <w:rPr>
          <w:rFonts w:ascii="Arial" w:hAnsi="Arial" w:cs="Arial"/>
        </w:rPr>
        <w:lastRenderedPageBreak/>
        <w:t xml:space="preserve">The allocation of treatment capacity given to hauled waste, as already explained, </w:t>
      </w:r>
      <w:r w:rsidR="008761A0" w:rsidRPr="00056171">
        <w:rPr>
          <w:rFonts w:ascii="Arial" w:hAnsi="Arial" w:cs="Arial"/>
        </w:rPr>
        <w:t xml:space="preserve">is based </w:t>
      </w:r>
      <w:r w:rsidR="008761A0" w:rsidRPr="00C95CE3">
        <w:rPr>
          <w:rFonts w:ascii="Arial" w:hAnsi="Arial" w:cs="Arial"/>
        </w:rPr>
        <w:t>upon a flow o</w:t>
      </w:r>
      <w:r w:rsidR="001945AA" w:rsidRPr="00C95CE3">
        <w:rPr>
          <w:rFonts w:ascii="Arial" w:hAnsi="Arial" w:cs="Arial"/>
        </w:rPr>
        <w:t>f</w:t>
      </w:r>
      <w:r w:rsidR="008761A0" w:rsidRPr="00C95CE3">
        <w:rPr>
          <w:rFonts w:ascii="Arial" w:hAnsi="Arial" w:cs="Arial"/>
        </w:rPr>
        <w:t xml:space="preserve"> </w:t>
      </w:r>
      <w:r w:rsidR="00FD1B35" w:rsidRPr="00C95CE3">
        <w:rPr>
          <w:rFonts w:ascii="Arial" w:hAnsi="Arial" w:cs="Arial"/>
        </w:rPr>
        <w:t>4.5</w:t>
      </w:r>
      <w:r w:rsidR="008761A0" w:rsidRPr="00C95CE3">
        <w:rPr>
          <w:rFonts w:ascii="Arial" w:hAnsi="Arial" w:cs="Arial"/>
        </w:rPr>
        <w:t xml:space="preserve"> million gallons per month and average pollutant concentrations</w:t>
      </w:r>
      <w:r w:rsidR="00125263" w:rsidRPr="00C95CE3">
        <w:rPr>
          <w:rFonts w:ascii="Arial" w:hAnsi="Arial" w:cs="Arial"/>
        </w:rPr>
        <w:t xml:space="preserve"> that were determined in 2009</w:t>
      </w:r>
      <w:r w:rsidR="008761A0" w:rsidRPr="00C95CE3">
        <w:rPr>
          <w:rFonts w:ascii="Arial" w:hAnsi="Arial" w:cs="Arial"/>
        </w:rPr>
        <w:t xml:space="preserve">.  </w:t>
      </w:r>
      <w:r w:rsidR="00BA451E" w:rsidRPr="00C95CE3">
        <w:rPr>
          <w:rFonts w:ascii="Arial" w:hAnsi="Arial" w:cs="Arial"/>
        </w:rPr>
        <w:t>Assuming that the average pollutant concentrations remain fairly constant, the</w:t>
      </w:r>
      <w:r w:rsidR="000678F3" w:rsidRPr="00C95CE3">
        <w:rPr>
          <w:rFonts w:ascii="Arial" w:hAnsi="Arial" w:cs="Arial"/>
        </w:rPr>
        <w:t xml:space="preserve"> pollutant loadings received </w:t>
      </w:r>
      <w:r w:rsidR="00582BDA" w:rsidRPr="00C95CE3">
        <w:rPr>
          <w:rFonts w:ascii="Arial" w:hAnsi="Arial" w:cs="Arial"/>
        </w:rPr>
        <w:t>from hauled waste</w:t>
      </w:r>
      <w:r w:rsidR="000678F3" w:rsidRPr="00C95CE3">
        <w:rPr>
          <w:rFonts w:ascii="Arial" w:hAnsi="Arial" w:cs="Arial"/>
        </w:rPr>
        <w:t xml:space="preserve"> </w:t>
      </w:r>
      <w:r w:rsidR="008B7780" w:rsidRPr="00C95CE3">
        <w:rPr>
          <w:rFonts w:ascii="Arial" w:hAnsi="Arial" w:cs="Arial"/>
        </w:rPr>
        <w:t>are</w:t>
      </w:r>
      <w:r w:rsidR="000678F3" w:rsidRPr="00C95CE3">
        <w:rPr>
          <w:rFonts w:ascii="Arial" w:hAnsi="Arial" w:cs="Arial"/>
        </w:rPr>
        <w:t xml:space="preserve"> easily monitored by tracking the hauled waste flow for each month.  If the hauled waste flow should ever approach </w:t>
      </w:r>
      <w:r w:rsidR="00FD1B35" w:rsidRPr="00C95CE3">
        <w:rPr>
          <w:rFonts w:ascii="Arial" w:hAnsi="Arial" w:cs="Arial"/>
        </w:rPr>
        <w:t>four and a half</w:t>
      </w:r>
      <w:r w:rsidR="00BA451E" w:rsidRPr="00C95CE3">
        <w:rPr>
          <w:rFonts w:ascii="Arial" w:hAnsi="Arial" w:cs="Arial"/>
        </w:rPr>
        <w:t xml:space="preserve"> million gallons per month,</w:t>
      </w:r>
      <w:r w:rsidR="000678F3" w:rsidRPr="00C95CE3">
        <w:rPr>
          <w:rFonts w:ascii="Arial" w:hAnsi="Arial" w:cs="Arial"/>
        </w:rPr>
        <w:t xml:space="preserve"> </w:t>
      </w:r>
      <w:r w:rsidR="00F302B3" w:rsidRPr="00C95CE3">
        <w:rPr>
          <w:rFonts w:ascii="Arial" w:hAnsi="Arial" w:cs="Arial"/>
        </w:rPr>
        <w:t xml:space="preserve">then steps </w:t>
      </w:r>
      <w:r w:rsidR="001E343A" w:rsidRPr="00C95CE3">
        <w:rPr>
          <w:rFonts w:ascii="Arial" w:hAnsi="Arial" w:cs="Arial"/>
        </w:rPr>
        <w:t>will</w:t>
      </w:r>
      <w:r w:rsidR="00F302B3" w:rsidRPr="00C95CE3">
        <w:rPr>
          <w:rFonts w:ascii="Arial" w:hAnsi="Arial" w:cs="Arial"/>
        </w:rPr>
        <w:t xml:space="preserve"> be taken to regulate the hauled waste flow</w:t>
      </w:r>
      <w:r w:rsidR="00B66381" w:rsidRPr="00C95CE3">
        <w:rPr>
          <w:rFonts w:ascii="Arial" w:hAnsi="Arial" w:cs="Arial"/>
        </w:rPr>
        <w:t>.  These steps may include</w:t>
      </w:r>
      <w:r w:rsidR="00F302B3" w:rsidRPr="00C95CE3">
        <w:rPr>
          <w:rFonts w:ascii="Arial" w:hAnsi="Arial" w:cs="Arial"/>
        </w:rPr>
        <w:t xml:space="preserve"> postponing some discharges </w:t>
      </w:r>
      <w:r w:rsidR="00020284" w:rsidRPr="00C95CE3">
        <w:rPr>
          <w:rFonts w:ascii="Arial" w:hAnsi="Arial" w:cs="Arial"/>
        </w:rPr>
        <w:t xml:space="preserve">when possible or </w:t>
      </w:r>
      <w:r w:rsidR="00F302B3" w:rsidRPr="00C95CE3">
        <w:rPr>
          <w:rFonts w:ascii="Arial" w:hAnsi="Arial" w:cs="Arial"/>
        </w:rPr>
        <w:t>tur</w:t>
      </w:r>
      <w:r w:rsidR="002C0789" w:rsidRPr="00C95CE3">
        <w:rPr>
          <w:rFonts w:ascii="Arial" w:hAnsi="Arial" w:cs="Arial"/>
        </w:rPr>
        <w:t>n</w:t>
      </w:r>
      <w:r w:rsidR="00F302B3" w:rsidRPr="00C95CE3">
        <w:rPr>
          <w:rFonts w:ascii="Arial" w:hAnsi="Arial" w:cs="Arial"/>
        </w:rPr>
        <w:t xml:space="preserve">ing some discharges away if necessary. </w:t>
      </w:r>
      <w:r w:rsidR="009A5F1A" w:rsidRPr="00C95CE3">
        <w:rPr>
          <w:rFonts w:ascii="Arial" w:hAnsi="Arial" w:cs="Arial"/>
        </w:rPr>
        <w:t xml:space="preserve"> A hauled waste flow </w:t>
      </w:r>
      <w:r w:rsidR="00125263" w:rsidRPr="00C95CE3">
        <w:rPr>
          <w:rFonts w:ascii="Arial" w:hAnsi="Arial" w:cs="Arial"/>
        </w:rPr>
        <w:t xml:space="preserve">is </w:t>
      </w:r>
      <w:r w:rsidR="009A5F1A" w:rsidRPr="00C95CE3">
        <w:rPr>
          <w:rFonts w:ascii="Arial" w:hAnsi="Arial" w:cs="Arial"/>
        </w:rPr>
        <w:t>report</w:t>
      </w:r>
      <w:r w:rsidR="00125263" w:rsidRPr="00C95CE3">
        <w:rPr>
          <w:rFonts w:ascii="Arial" w:hAnsi="Arial" w:cs="Arial"/>
        </w:rPr>
        <w:t>ed</w:t>
      </w:r>
      <w:r w:rsidR="009A5F1A" w:rsidRPr="00C95CE3">
        <w:rPr>
          <w:rFonts w:ascii="Arial" w:hAnsi="Arial" w:cs="Arial"/>
        </w:rPr>
        <w:t xml:space="preserve"> </w:t>
      </w:r>
      <w:r w:rsidR="002F3031" w:rsidRPr="00C95CE3">
        <w:rPr>
          <w:rFonts w:ascii="Arial" w:hAnsi="Arial" w:cs="Arial"/>
        </w:rPr>
        <w:t xml:space="preserve">weekly so that </w:t>
      </w:r>
      <w:r w:rsidR="00125263" w:rsidRPr="00C95CE3">
        <w:rPr>
          <w:rFonts w:ascii="Arial" w:hAnsi="Arial" w:cs="Arial"/>
        </w:rPr>
        <w:t>its loading</w:t>
      </w:r>
      <w:r w:rsidR="002F3031" w:rsidRPr="00C95CE3">
        <w:rPr>
          <w:rFonts w:ascii="Arial" w:hAnsi="Arial" w:cs="Arial"/>
        </w:rPr>
        <w:t xml:space="preserve"> contribution may be monitored.</w:t>
      </w:r>
    </w:p>
    <w:p w:rsidR="002F3031" w:rsidRPr="00056171" w:rsidRDefault="002F3031">
      <w:pPr>
        <w:rPr>
          <w:rFonts w:ascii="Arial" w:hAnsi="Arial" w:cs="Arial"/>
        </w:rPr>
      </w:pPr>
    </w:p>
    <w:p w:rsidR="00074214" w:rsidRPr="00056171" w:rsidRDefault="00B26AB8">
      <w:pPr>
        <w:rPr>
          <w:rFonts w:ascii="Arial" w:hAnsi="Arial" w:cs="Arial"/>
        </w:rPr>
      </w:pPr>
      <w:r w:rsidRPr="00056171">
        <w:rPr>
          <w:rFonts w:ascii="Arial" w:hAnsi="Arial" w:cs="Arial"/>
        </w:rPr>
        <w:t>In addition to tracking the</w:t>
      </w:r>
      <w:r w:rsidR="00984D42" w:rsidRPr="00056171">
        <w:rPr>
          <w:rFonts w:ascii="Arial" w:hAnsi="Arial" w:cs="Arial"/>
        </w:rPr>
        <w:t xml:space="preserve"> volume of</w:t>
      </w:r>
      <w:r w:rsidRPr="00056171">
        <w:rPr>
          <w:rFonts w:ascii="Arial" w:hAnsi="Arial" w:cs="Arial"/>
        </w:rPr>
        <w:t xml:space="preserve"> hauled waste flow, MCWMS also monitors hauled waste through sampling and analysis.  Septage and grease loads are randomly sampled</w:t>
      </w:r>
      <w:r w:rsidR="005233A3" w:rsidRPr="00056171">
        <w:rPr>
          <w:rFonts w:ascii="Arial" w:hAnsi="Arial" w:cs="Arial"/>
        </w:rPr>
        <w:t xml:space="preserve"> approximately week</w:t>
      </w:r>
      <w:r w:rsidR="00A61F96" w:rsidRPr="00056171">
        <w:rPr>
          <w:rFonts w:ascii="Arial" w:hAnsi="Arial" w:cs="Arial"/>
        </w:rPr>
        <w:t>ly</w:t>
      </w:r>
      <w:r w:rsidRPr="00056171">
        <w:rPr>
          <w:rFonts w:ascii="Arial" w:hAnsi="Arial" w:cs="Arial"/>
        </w:rPr>
        <w:t xml:space="preserve">.  </w:t>
      </w:r>
      <w:r w:rsidR="009F01F4" w:rsidRPr="00056171">
        <w:rPr>
          <w:rFonts w:ascii="Arial" w:hAnsi="Arial" w:cs="Arial"/>
        </w:rPr>
        <w:t>Wastestream</w:t>
      </w:r>
      <w:r w:rsidR="00BB176A" w:rsidRPr="00056171">
        <w:rPr>
          <w:rFonts w:ascii="Arial" w:hAnsi="Arial" w:cs="Arial"/>
        </w:rPr>
        <w:t>s that</w:t>
      </w:r>
      <w:r w:rsidRPr="00056171">
        <w:rPr>
          <w:rFonts w:ascii="Arial" w:hAnsi="Arial" w:cs="Arial"/>
        </w:rPr>
        <w:t xml:space="preserve"> are not septage or grease are sampled according to the schedules </w:t>
      </w:r>
      <w:r w:rsidR="00BB176A" w:rsidRPr="00056171">
        <w:rPr>
          <w:rFonts w:ascii="Arial" w:hAnsi="Arial" w:cs="Arial"/>
        </w:rPr>
        <w:t>published in the permits</w:t>
      </w:r>
      <w:r w:rsidR="00B66381" w:rsidRPr="00056171">
        <w:rPr>
          <w:rFonts w:ascii="Arial" w:hAnsi="Arial" w:cs="Arial"/>
        </w:rPr>
        <w:t xml:space="preserve"> of those hauled waste users</w:t>
      </w:r>
      <w:r w:rsidR="00BB176A" w:rsidRPr="00056171">
        <w:rPr>
          <w:rFonts w:ascii="Arial" w:hAnsi="Arial" w:cs="Arial"/>
        </w:rPr>
        <w:t xml:space="preserve">. </w:t>
      </w:r>
      <w:r w:rsidR="00B83105" w:rsidRPr="00056171">
        <w:rPr>
          <w:rFonts w:ascii="Arial" w:hAnsi="Arial" w:cs="Arial"/>
        </w:rPr>
        <w:t xml:space="preserve"> The sampling frequency in the permits of hauled waste users is determined according to the following factors.  Users with a potential to exceed the surcharge threshold of BOD and TSS </w:t>
      </w:r>
      <w:r w:rsidR="00785C6D" w:rsidRPr="00056171">
        <w:rPr>
          <w:rFonts w:ascii="Arial" w:hAnsi="Arial" w:cs="Arial"/>
        </w:rPr>
        <w:t xml:space="preserve">for hauled waste </w:t>
      </w:r>
      <w:r w:rsidR="00B83105" w:rsidRPr="00056171">
        <w:rPr>
          <w:rFonts w:ascii="Arial" w:hAnsi="Arial" w:cs="Arial"/>
        </w:rPr>
        <w:t>are sampled monthly</w:t>
      </w:r>
      <w:r w:rsidR="007F7D3D" w:rsidRPr="00056171">
        <w:rPr>
          <w:rFonts w:ascii="Arial" w:hAnsi="Arial" w:cs="Arial"/>
        </w:rPr>
        <w:t xml:space="preserve"> at a minimum</w:t>
      </w:r>
      <w:r w:rsidR="00B83105" w:rsidRPr="00056171">
        <w:rPr>
          <w:rFonts w:ascii="Arial" w:hAnsi="Arial" w:cs="Arial"/>
        </w:rPr>
        <w:t xml:space="preserve"> in order to accurately determine the surcharges for the user.  </w:t>
      </w:r>
      <w:r w:rsidR="00646093" w:rsidRPr="00056171">
        <w:rPr>
          <w:rFonts w:ascii="Arial" w:hAnsi="Arial" w:cs="Arial"/>
        </w:rPr>
        <w:t>The sampling frequency for all o</w:t>
      </w:r>
      <w:r w:rsidR="00B83105" w:rsidRPr="00056171">
        <w:rPr>
          <w:rFonts w:ascii="Arial" w:hAnsi="Arial" w:cs="Arial"/>
        </w:rPr>
        <w:t>ther p</w:t>
      </w:r>
      <w:r w:rsidR="00646093" w:rsidRPr="00056171">
        <w:rPr>
          <w:rFonts w:ascii="Arial" w:hAnsi="Arial" w:cs="Arial"/>
        </w:rPr>
        <w:t xml:space="preserve">arameters is based on </w:t>
      </w:r>
      <w:r w:rsidR="00B24DD4" w:rsidRPr="00C95CE3">
        <w:rPr>
          <w:rFonts w:ascii="Arial" w:hAnsi="Arial" w:cs="Arial"/>
        </w:rPr>
        <w:t>the impact that certain expected  pollutants would have on the system and the allocated amount of those pollutants</w:t>
      </w:r>
      <w:r w:rsidR="00B24DD4">
        <w:rPr>
          <w:rFonts w:ascii="Arial" w:hAnsi="Arial" w:cs="Arial"/>
        </w:rPr>
        <w:t xml:space="preserve">.  </w:t>
      </w:r>
    </w:p>
    <w:p w:rsidR="002F3031" w:rsidRPr="00056171" w:rsidRDefault="00BB176A">
      <w:pPr>
        <w:rPr>
          <w:rFonts w:ascii="Arial" w:hAnsi="Arial" w:cs="Arial"/>
        </w:rPr>
      </w:pPr>
      <w:r w:rsidRPr="00056171">
        <w:rPr>
          <w:rFonts w:ascii="Arial" w:hAnsi="Arial" w:cs="Arial"/>
        </w:rPr>
        <w:t>Permits for hauled waste users do not include limits other than for pH and flashpoint.</w:t>
      </w:r>
      <w:r w:rsidR="00EF4E9D" w:rsidRPr="00056171">
        <w:rPr>
          <w:rFonts w:ascii="Arial" w:hAnsi="Arial" w:cs="Arial"/>
        </w:rPr>
        <w:t xml:space="preserve">  Therefore, if an </w:t>
      </w:r>
      <w:r w:rsidR="00D668BF" w:rsidRPr="00056171">
        <w:rPr>
          <w:rFonts w:ascii="Arial" w:hAnsi="Arial" w:cs="Arial"/>
        </w:rPr>
        <w:t>excessive</w:t>
      </w:r>
      <w:r w:rsidR="00EF4E9D" w:rsidRPr="00056171">
        <w:rPr>
          <w:rFonts w:ascii="Arial" w:hAnsi="Arial" w:cs="Arial"/>
        </w:rPr>
        <w:t xml:space="preserve"> pollutant concentration is discovered in a hauled waste sample, enforcement </w:t>
      </w:r>
      <w:r w:rsidR="00670AB5" w:rsidRPr="00056171">
        <w:rPr>
          <w:rFonts w:ascii="Arial" w:hAnsi="Arial" w:cs="Arial"/>
        </w:rPr>
        <w:t>response</w:t>
      </w:r>
      <w:r w:rsidR="00EF4E9D" w:rsidRPr="00056171">
        <w:rPr>
          <w:rFonts w:ascii="Arial" w:hAnsi="Arial" w:cs="Arial"/>
        </w:rPr>
        <w:t xml:space="preserve"> will be based upon</w:t>
      </w:r>
      <w:r w:rsidR="00582BDA" w:rsidRPr="00056171">
        <w:rPr>
          <w:rFonts w:ascii="Arial" w:hAnsi="Arial" w:cs="Arial"/>
        </w:rPr>
        <w:t xml:space="preserve"> the user’s</w:t>
      </w:r>
      <w:r w:rsidR="00EF4E9D" w:rsidRPr="00056171">
        <w:rPr>
          <w:rFonts w:ascii="Arial" w:hAnsi="Arial" w:cs="Arial"/>
        </w:rPr>
        <w:t xml:space="preserve"> discharging a waste o</w:t>
      </w:r>
      <w:r w:rsidR="00582BDA" w:rsidRPr="00056171">
        <w:rPr>
          <w:rFonts w:ascii="Arial" w:hAnsi="Arial" w:cs="Arial"/>
        </w:rPr>
        <w:t xml:space="preserve">ther than what was specified in </w:t>
      </w:r>
      <w:r w:rsidR="00D51DAB" w:rsidRPr="00056171">
        <w:rPr>
          <w:rFonts w:ascii="Arial" w:hAnsi="Arial" w:cs="Arial"/>
        </w:rPr>
        <w:t xml:space="preserve">the waste characterization provided in </w:t>
      </w:r>
      <w:r w:rsidR="00582BDA" w:rsidRPr="00056171">
        <w:rPr>
          <w:rFonts w:ascii="Arial" w:hAnsi="Arial" w:cs="Arial"/>
        </w:rPr>
        <w:t>its</w:t>
      </w:r>
      <w:r w:rsidR="00EF4E9D" w:rsidRPr="00056171">
        <w:rPr>
          <w:rFonts w:ascii="Arial" w:hAnsi="Arial" w:cs="Arial"/>
        </w:rPr>
        <w:t xml:space="preserve"> permit</w:t>
      </w:r>
      <w:r w:rsidR="00D51DAB" w:rsidRPr="00056171">
        <w:rPr>
          <w:rFonts w:ascii="Arial" w:hAnsi="Arial" w:cs="Arial"/>
        </w:rPr>
        <w:t xml:space="preserve"> application</w:t>
      </w:r>
      <w:r w:rsidR="00EF4E9D" w:rsidRPr="00056171">
        <w:rPr>
          <w:rFonts w:ascii="Arial" w:hAnsi="Arial" w:cs="Arial"/>
        </w:rPr>
        <w:t xml:space="preserve">.  Penalties may include </w:t>
      </w:r>
      <w:r w:rsidR="00FF71F5" w:rsidRPr="00056171">
        <w:rPr>
          <w:rFonts w:ascii="Arial" w:hAnsi="Arial" w:cs="Arial"/>
        </w:rPr>
        <w:t>letters of noncompliance, notices of violation, fines, or revocation of the permit to discharge.</w:t>
      </w:r>
      <w:r w:rsidR="008424F6" w:rsidRPr="00056171">
        <w:rPr>
          <w:rFonts w:ascii="Arial" w:hAnsi="Arial" w:cs="Arial"/>
        </w:rPr>
        <w:t xml:space="preserve"> </w:t>
      </w:r>
    </w:p>
    <w:p w:rsidR="00FA0B1F" w:rsidRPr="00056171" w:rsidRDefault="00FA0B1F">
      <w:pPr>
        <w:rPr>
          <w:rFonts w:ascii="Arial" w:hAnsi="Arial" w:cs="Arial"/>
        </w:rPr>
      </w:pPr>
    </w:p>
    <w:p w:rsidR="00FA0B1F" w:rsidRPr="00056171" w:rsidRDefault="00FA0B1F">
      <w:pPr>
        <w:rPr>
          <w:rFonts w:ascii="Arial" w:hAnsi="Arial" w:cs="Arial"/>
        </w:rPr>
      </w:pPr>
      <w:r w:rsidRPr="00056171">
        <w:rPr>
          <w:rFonts w:ascii="Arial" w:hAnsi="Arial" w:cs="Arial"/>
        </w:rPr>
        <w:t>The average hauled waste pollutant concentrations upon which the hauled waste allocation was based</w:t>
      </w:r>
      <w:r w:rsidR="00084624" w:rsidRPr="00056171">
        <w:rPr>
          <w:rFonts w:ascii="Arial" w:hAnsi="Arial" w:cs="Arial"/>
        </w:rPr>
        <w:t xml:space="preserve"> were determined in 2009.  These concentrations</w:t>
      </w:r>
      <w:r w:rsidRPr="00056171">
        <w:rPr>
          <w:rFonts w:ascii="Arial" w:hAnsi="Arial" w:cs="Arial"/>
        </w:rPr>
        <w:t xml:space="preserve"> will be re-evaluated yearly for all inorganic pollutants</w:t>
      </w:r>
      <w:r w:rsidR="005A5A8B" w:rsidRPr="00056171">
        <w:rPr>
          <w:rFonts w:ascii="Arial" w:hAnsi="Arial" w:cs="Arial"/>
        </w:rPr>
        <w:t xml:space="preserve"> except cyanide</w:t>
      </w:r>
      <w:r w:rsidR="000D59C0" w:rsidRPr="00056171">
        <w:rPr>
          <w:rFonts w:ascii="Arial" w:hAnsi="Arial" w:cs="Arial"/>
        </w:rPr>
        <w:t xml:space="preserve"> (unless a hauled waste wastestream is known to be a source of cyanide).</w:t>
      </w:r>
      <w:r w:rsidRPr="00056171">
        <w:rPr>
          <w:rFonts w:ascii="Arial" w:hAnsi="Arial" w:cs="Arial"/>
        </w:rPr>
        <w:t xml:space="preserve">  If an average pollutant concentration from the yearly evaluation is found to </w:t>
      </w:r>
      <w:r w:rsidR="00E86F9B" w:rsidRPr="00056171">
        <w:rPr>
          <w:rFonts w:ascii="Arial" w:hAnsi="Arial" w:cs="Arial"/>
        </w:rPr>
        <w:t>change</w:t>
      </w:r>
      <w:r w:rsidRPr="00056171">
        <w:rPr>
          <w:rFonts w:ascii="Arial" w:hAnsi="Arial" w:cs="Arial"/>
        </w:rPr>
        <w:t xml:space="preserve"> by 20% or more from the average </w:t>
      </w:r>
      <w:r w:rsidR="008E60AC" w:rsidRPr="00056171">
        <w:rPr>
          <w:rFonts w:ascii="Arial" w:hAnsi="Arial" w:cs="Arial"/>
        </w:rPr>
        <w:t>concentration currently being used in calculations</w:t>
      </w:r>
      <w:r w:rsidRPr="00056171">
        <w:rPr>
          <w:rFonts w:ascii="Arial" w:hAnsi="Arial" w:cs="Arial"/>
        </w:rPr>
        <w:t>, the</w:t>
      </w:r>
      <w:r w:rsidR="008E60AC" w:rsidRPr="00056171">
        <w:rPr>
          <w:rFonts w:ascii="Arial" w:hAnsi="Arial" w:cs="Arial"/>
        </w:rPr>
        <w:t xml:space="preserve">n the </w:t>
      </w:r>
      <w:r w:rsidRPr="00056171">
        <w:rPr>
          <w:rFonts w:ascii="Arial" w:hAnsi="Arial" w:cs="Arial"/>
        </w:rPr>
        <w:t xml:space="preserve">new average will be used </w:t>
      </w:r>
      <w:r w:rsidR="00B24DD4" w:rsidRPr="00C95CE3">
        <w:rPr>
          <w:rFonts w:ascii="Arial" w:hAnsi="Arial" w:cs="Arial"/>
        </w:rPr>
        <w:t>thereafter</w:t>
      </w:r>
      <w:r w:rsidR="00B24DD4">
        <w:rPr>
          <w:rFonts w:ascii="Arial" w:hAnsi="Arial" w:cs="Arial"/>
        </w:rPr>
        <w:t xml:space="preserve"> </w:t>
      </w:r>
      <w:r w:rsidRPr="00056171">
        <w:rPr>
          <w:rFonts w:ascii="Arial" w:hAnsi="Arial" w:cs="Arial"/>
        </w:rPr>
        <w:t xml:space="preserve">to determine the hauled </w:t>
      </w:r>
      <w:r w:rsidR="009B08EF" w:rsidRPr="00056171">
        <w:rPr>
          <w:rFonts w:ascii="Arial" w:hAnsi="Arial" w:cs="Arial"/>
        </w:rPr>
        <w:t>waste</w:t>
      </w:r>
      <w:r w:rsidRPr="00056171">
        <w:rPr>
          <w:rFonts w:ascii="Arial" w:hAnsi="Arial" w:cs="Arial"/>
        </w:rPr>
        <w:t xml:space="preserve"> pollutant loadings</w:t>
      </w:r>
      <w:r w:rsidR="008E60AC" w:rsidRPr="00056171">
        <w:rPr>
          <w:rFonts w:ascii="Arial" w:hAnsi="Arial" w:cs="Arial"/>
        </w:rPr>
        <w:t>.</w:t>
      </w:r>
    </w:p>
    <w:p w:rsidR="000255F1" w:rsidRPr="00056171" w:rsidRDefault="000255F1">
      <w:pPr>
        <w:rPr>
          <w:rFonts w:ascii="Arial" w:hAnsi="Arial" w:cs="Arial"/>
        </w:rPr>
      </w:pPr>
    </w:p>
    <w:p w:rsidR="00E26783" w:rsidRPr="009113C0" w:rsidRDefault="00E26783" w:rsidP="00E26783">
      <w:pPr>
        <w:rPr>
          <w:rFonts w:ascii="Arial" w:hAnsi="Arial" w:cs="Arial"/>
          <w:strike/>
        </w:rPr>
      </w:pPr>
      <w:r w:rsidRPr="00056171">
        <w:rPr>
          <w:rFonts w:ascii="Arial" w:hAnsi="Arial" w:cs="Arial"/>
        </w:rPr>
        <w:t xml:space="preserve">To ensure that treatment is occurring as expected, sampling is conducted throughout the treatment plant at various stages.  </w:t>
      </w:r>
      <w:r w:rsidR="00FD1B35">
        <w:rPr>
          <w:rFonts w:ascii="Arial" w:hAnsi="Arial" w:cs="Arial"/>
        </w:rPr>
        <w:t xml:space="preserve">A copy of the current </w:t>
      </w:r>
      <w:r w:rsidR="009113C0">
        <w:rPr>
          <w:rFonts w:ascii="Arial" w:hAnsi="Arial" w:cs="Arial"/>
        </w:rPr>
        <w:t xml:space="preserve">“Metro Sampling Schedule” which contains the </w:t>
      </w:r>
      <w:r w:rsidR="00FD1B35">
        <w:rPr>
          <w:rFonts w:ascii="Arial" w:hAnsi="Arial" w:cs="Arial"/>
        </w:rPr>
        <w:t>sampling schedule and parameters collected is available for review at the administration building</w:t>
      </w:r>
      <w:r w:rsidR="00A57F6D" w:rsidRPr="00056171">
        <w:rPr>
          <w:rFonts w:ascii="Arial" w:hAnsi="Arial" w:cs="Arial"/>
        </w:rPr>
        <w:t>.</w:t>
      </w:r>
      <w:r w:rsidR="009113C0">
        <w:rPr>
          <w:rFonts w:ascii="Arial" w:hAnsi="Arial" w:cs="Arial"/>
        </w:rPr>
        <w:t xml:space="preserve"> </w:t>
      </w:r>
      <w:bookmarkStart w:id="0" w:name="_GoBack"/>
      <w:bookmarkEnd w:id="0"/>
      <w:r w:rsidR="009113C0">
        <w:rPr>
          <w:rFonts w:ascii="Arial" w:hAnsi="Arial" w:cs="Arial"/>
        </w:rPr>
        <w:t xml:space="preserve"> </w:t>
      </w:r>
    </w:p>
    <w:p w:rsidR="00A57F6D" w:rsidRDefault="00A57F6D" w:rsidP="00E26783">
      <w:pPr>
        <w:rPr>
          <w:rFonts w:ascii="Arial" w:hAnsi="Arial" w:cs="Arial"/>
        </w:rPr>
      </w:pPr>
    </w:p>
    <w:p w:rsidR="00FD1B35" w:rsidRDefault="00FD1B35" w:rsidP="00E26783">
      <w:pPr>
        <w:rPr>
          <w:rFonts w:ascii="Arial" w:hAnsi="Arial" w:cs="Arial"/>
        </w:rPr>
      </w:pPr>
    </w:p>
    <w:sectPr w:rsidR="00FD1B35" w:rsidSect="008B433C">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1779"/>
    <w:multiLevelType w:val="hybridMultilevel"/>
    <w:tmpl w:val="6EA4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7372E"/>
    <w:multiLevelType w:val="hybridMultilevel"/>
    <w:tmpl w:val="378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D10A4"/>
    <w:multiLevelType w:val="multilevel"/>
    <w:tmpl w:val="79CAB4FE"/>
    <w:lvl w:ilvl="0">
      <w:start w:val="1"/>
      <w:numFmt w:val="decimal"/>
      <w:pStyle w:val="Heading1"/>
      <w:lvlText w:val="Section %1"/>
      <w:lvlJc w:val="left"/>
      <w:pPr>
        <w:tabs>
          <w:tab w:val="num" w:pos="1584"/>
        </w:tabs>
        <w:ind w:left="1584" w:hanging="1584"/>
      </w:pPr>
      <w:rPr>
        <w:rFonts w:ascii="Times New Roman" w:hAnsi="Times New Roman" w:hint="default"/>
        <w:b/>
        <w:i w:val="0"/>
        <w:caps/>
        <w:sz w:val="24"/>
        <w:szCs w:val="24"/>
      </w:rPr>
    </w:lvl>
    <w:lvl w:ilvl="1">
      <w:start w:val="1"/>
      <w:numFmt w:val="decimal"/>
      <w:pStyle w:val="Heading2"/>
      <w:lvlText w:val="%1.%2"/>
      <w:lvlJc w:val="left"/>
      <w:pPr>
        <w:tabs>
          <w:tab w:val="num" w:pos="720"/>
        </w:tabs>
        <w:ind w:left="504" w:hanging="504"/>
      </w:pPr>
      <w:rPr>
        <w:rFonts w:hint="default"/>
        <w:b/>
        <w:i w:val="0"/>
        <w:sz w:val="24"/>
      </w:rPr>
    </w:lvl>
    <w:lvl w:ilvl="2">
      <w:start w:val="1"/>
      <w:numFmt w:val="upperLetter"/>
      <w:pStyle w:val="BodyText"/>
      <w:lvlText w:val="%3."/>
      <w:lvlJc w:val="left"/>
      <w:pPr>
        <w:tabs>
          <w:tab w:val="num" w:pos="1080"/>
        </w:tabs>
        <w:ind w:left="1080" w:hanging="576"/>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ascii="Times New Roman" w:hAnsi="Times New Roman" w:hint="default"/>
        <w:b w:val="0"/>
        <w:i w:val="0"/>
        <w:sz w:val="24"/>
        <w:szCs w:val="24"/>
      </w:rPr>
    </w:lvl>
    <w:lvl w:ilvl="5">
      <w:start w:val="1"/>
      <w:numFmt w:val="decimal"/>
      <w:lvlText w:val="(%6)"/>
      <w:lvlJc w:val="left"/>
      <w:pPr>
        <w:tabs>
          <w:tab w:val="num" w:pos="2304"/>
        </w:tabs>
        <w:ind w:left="2304" w:hanging="504"/>
      </w:pPr>
      <w:rPr>
        <w:rFonts w:ascii="Times New Roman" w:hAnsi="Times New Roman" w:hint="default"/>
        <w:b w:val="0"/>
        <w:i w:val="0"/>
        <w:sz w:val="24"/>
        <w:szCs w:val="24"/>
      </w:rPr>
    </w:lvl>
    <w:lvl w:ilvl="6">
      <w:start w:val="1"/>
      <w:numFmt w:val="bullet"/>
      <w:lvlText w:val=""/>
      <w:lvlJc w:val="left"/>
      <w:pPr>
        <w:tabs>
          <w:tab w:val="num" w:pos="360"/>
        </w:tabs>
        <w:ind w:left="1440" w:hanging="1440"/>
      </w:pPr>
      <w:rPr>
        <w:rFonts w:ascii="Symbol" w:hAnsi="Symbol" w:hint="default"/>
        <w:color w:val="auto"/>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nsid w:val="3CB8174C"/>
    <w:multiLevelType w:val="hybridMultilevel"/>
    <w:tmpl w:val="ED66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A07B3"/>
    <w:multiLevelType w:val="hybridMultilevel"/>
    <w:tmpl w:val="40CA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13DF7"/>
    <w:multiLevelType w:val="hybridMultilevel"/>
    <w:tmpl w:val="D682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34"/>
    <w:rsid w:val="000007C4"/>
    <w:rsid w:val="00002A72"/>
    <w:rsid w:val="00020284"/>
    <w:rsid w:val="000255F1"/>
    <w:rsid w:val="00042B51"/>
    <w:rsid w:val="00052467"/>
    <w:rsid w:val="00056171"/>
    <w:rsid w:val="00064853"/>
    <w:rsid w:val="000663A4"/>
    <w:rsid w:val="000678F3"/>
    <w:rsid w:val="00070F86"/>
    <w:rsid w:val="00074214"/>
    <w:rsid w:val="0007531C"/>
    <w:rsid w:val="00075CD1"/>
    <w:rsid w:val="000768C5"/>
    <w:rsid w:val="00084624"/>
    <w:rsid w:val="000856DE"/>
    <w:rsid w:val="000944B2"/>
    <w:rsid w:val="000957B4"/>
    <w:rsid w:val="000A4C94"/>
    <w:rsid w:val="000B1374"/>
    <w:rsid w:val="000C3AB9"/>
    <w:rsid w:val="000C3C6A"/>
    <w:rsid w:val="000C686D"/>
    <w:rsid w:val="000D5093"/>
    <w:rsid w:val="000D59C0"/>
    <w:rsid w:val="000D5B1E"/>
    <w:rsid w:val="000D611F"/>
    <w:rsid w:val="000F7813"/>
    <w:rsid w:val="000F7E0B"/>
    <w:rsid w:val="00100827"/>
    <w:rsid w:val="00115EA9"/>
    <w:rsid w:val="001229D6"/>
    <w:rsid w:val="00125263"/>
    <w:rsid w:val="001254EC"/>
    <w:rsid w:val="00125805"/>
    <w:rsid w:val="001263C7"/>
    <w:rsid w:val="00135466"/>
    <w:rsid w:val="001366C1"/>
    <w:rsid w:val="00142EC2"/>
    <w:rsid w:val="0014644A"/>
    <w:rsid w:val="00146AA8"/>
    <w:rsid w:val="0015149B"/>
    <w:rsid w:val="00151FD7"/>
    <w:rsid w:val="00156EE4"/>
    <w:rsid w:val="0016437E"/>
    <w:rsid w:val="001709B9"/>
    <w:rsid w:val="00170E5B"/>
    <w:rsid w:val="001710E0"/>
    <w:rsid w:val="001945AA"/>
    <w:rsid w:val="001C1A70"/>
    <w:rsid w:val="001C2AAC"/>
    <w:rsid w:val="001C46AE"/>
    <w:rsid w:val="001D149E"/>
    <w:rsid w:val="001D157A"/>
    <w:rsid w:val="001E2381"/>
    <w:rsid w:val="001E343A"/>
    <w:rsid w:val="001E4464"/>
    <w:rsid w:val="00205ABE"/>
    <w:rsid w:val="002101C5"/>
    <w:rsid w:val="00224187"/>
    <w:rsid w:val="002243A7"/>
    <w:rsid w:val="00225653"/>
    <w:rsid w:val="0023485B"/>
    <w:rsid w:val="0023591F"/>
    <w:rsid w:val="002431A4"/>
    <w:rsid w:val="00257EA0"/>
    <w:rsid w:val="00271E38"/>
    <w:rsid w:val="00276AFB"/>
    <w:rsid w:val="0028217A"/>
    <w:rsid w:val="002A4CF2"/>
    <w:rsid w:val="002B4B38"/>
    <w:rsid w:val="002B4F60"/>
    <w:rsid w:val="002B5300"/>
    <w:rsid w:val="002B6768"/>
    <w:rsid w:val="002C0789"/>
    <w:rsid w:val="002C595C"/>
    <w:rsid w:val="002C7726"/>
    <w:rsid w:val="002D4BE9"/>
    <w:rsid w:val="002E4E49"/>
    <w:rsid w:val="002F3031"/>
    <w:rsid w:val="0030267F"/>
    <w:rsid w:val="00310CB3"/>
    <w:rsid w:val="003163E8"/>
    <w:rsid w:val="00325BAC"/>
    <w:rsid w:val="003262E4"/>
    <w:rsid w:val="00330E1F"/>
    <w:rsid w:val="00333D69"/>
    <w:rsid w:val="00335664"/>
    <w:rsid w:val="00340B2E"/>
    <w:rsid w:val="00350737"/>
    <w:rsid w:val="00364863"/>
    <w:rsid w:val="003733FE"/>
    <w:rsid w:val="00377A31"/>
    <w:rsid w:val="003805FC"/>
    <w:rsid w:val="00387F9F"/>
    <w:rsid w:val="00394936"/>
    <w:rsid w:val="003966C4"/>
    <w:rsid w:val="00397DD3"/>
    <w:rsid w:val="003B0CEC"/>
    <w:rsid w:val="003B1E55"/>
    <w:rsid w:val="003B50ED"/>
    <w:rsid w:val="003B7EA2"/>
    <w:rsid w:val="003B7FD4"/>
    <w:rsid w:val="003D0CE1"/>
    <w:rsid w:val="003E0C34"/>
    <w:rsid w:val="003E3FF3"/>
    <w:rsid w:val="003E626A"/>
    <w:rsid w:val="003E7B23"/>
    <w:rsid w:val="003F0F14"/>
    <w:rsid w:val="003F3FF3"/>
    <w:rsid w:val="003F5E6C"/>
    <w:rsid w:val="00415D79"/>
    <w:rsid w:val="00422354"/>
    <w:rsid w:val="0042254A"/>
    <w:rsid w:val="00434D50"/>
    <w:rsid w:val="00435E42"/>
    <w:rsid w:val="00445336"/>
    <w:rsid w:val="004522D6"/>
    <w:rsid w:val="00477DD9"/>
    <w:rsid w:val="00485B87"/>
    <w:rsid w:val="004868B2"/>
    <w:rsid w:val="0049433D"/>
    <w:rsid w:val="004975E3"/>
    <w:rsid w:val="004C5B15"/>
    <w:rsid w:val="004C5EDE"/>
    <w:rsid w:val="004D2961"/>
    <w:rsid w:val="004F63FB"/>
    <w:rsid w:val="004F642F"/>
    <w:rsid w:val="004F66D0"/>
    <w:rsid w:val="00502782"/>
    <w:rsid w:val="005218F4"/>
    <w:rsid w:val="005233A3"/>
    <w:rsid w:val="00552AEA"/>
    <w:rsid w:val="005551FD"/>
    <w:rsid w:val="00582BDA"/>
    <w:rsid w:val="00586959"/>
    <w:rsid w:val="00587CD5"/>
    <w:rsid w:val="005A5788"/>
    <w:rsid w:val="005A5A8B"/>
    <w:rsid w:val="005B35C9"/>
    <w:rsid w:val="005C14A1"/>
    <w:rsid w:val="005D1042"/>
    <w:rsid w:val="005E261D"/>
    <w:rsid w:val="005E4E2F"/>
    <w:rsid w:val="005E56BA"/>
    <w:rsid w:val="005E5E5B"/>
    <w:rsid w:val="005E5F53"/>
    <w:rsid w:val="005E74D6"/>
    <w:rsid w:val="00605AF8"/>
    <w:rsid w:val="00607644"/>
    <w:rsid w:val="00607FD2"/>
    <w:rsid w:val="0062318F"/>
    <w:rsid w:val="00623744"/>
    <w:rsid w:val="00646093"/>
    <w:rsid w:val="00660450"/>
    <w:rsid w:val="00670AB5"/>
    <w:rsid w:val="00682AA7"/>
    <w:rsid w:val="0068685F"/>
    <w:rsid w:val="006A0574"/>
    <w:rsid w:val="006A0C72"/>
    <w:rsid w:val="006A4314"/>
    <w:rsid w:val="006B0A05"/>
    <w:rsid w:val="006C39B5"/>
    <w:rsid w:val="006C6007"/>
    <w:rsid w:val="006D0E67"/>
    <w:rsid w:val="006D13E9"/>
    <w:rsid w:val="006E1D49"/>
    <w:rsid w:val="006E1F59"/>
    <w:rsid w:val="00702076"/>
    <w:rsid w:val="007068B0"/>
    <w:rsid w:val="00710DF7"/>
    <w:rsid w:val="00715D6C"/>
    <w:rsid w:val="00721761"/>
    <w:rsid w:val="007316A6"/>
    <w:rsid w:val="0073343A"/>
    <w:rsid w:val="00734926"/>
    <w:rsid w:val="00753BEE"/>
    <w:rsid w:val="0077114B"/>
    <w:rsid w:val="007752F2"/>
    <w:rsid w:val="00782F30"/>
    <w:rsid w:val="00785C6D"/>
    <w:rsid w:val="007874EF"/>
    <w:rsid w:val="00796369"/>
    <w:rsid w:val="007B01E7"/>
    <w:rsid w:val="007B17D6"/>
    <w:rsid w:val="007B56D7"/>
    <w:rsid w:val="007C524A"/>
    <w:rsid w:val="007C5D3D"/>
    <w:rsid w:val="007D0690"/>
    <w:rsid w:val="007D5A82"/>
    <w:rsid w:val="007F022D"/>
    <w:rsid w:val="007F7D3D"/>
    <w:rsid w:val="00811B64"/>
    <w:rsid w:val="00814306"/>
    <w:rsid w:val="008206B2"/>
    <w:rsid w:val="008238AF"/>
    <w:rsid w:val="00825519"/>
    <w:rsid w:val="00841632"/>
    <w:rsid w:val="008424F6"/>
    <w:rsid w:val="0084468E"/>
    <w:rsid w:val="00847381"/>
    <w:rsid w:val="0085015F"/>
    <w:rsid w:val="00852302"/>
    <w:rsid w:val="008571F5"/>
    <w:rsid w:val="00866B94"/>
    <w:rsid w:val="00875C62"/>
    <w:rsid w:val="008761A0"/>
    <w:rsid w:val="00877619"/>
    <w:rsid w:val="00881D9A"/>
    <w:rsid w:val="00887FF6"/>
    <w:rsid w:val="0089032C"/>
    <w:rsid w:val="00890434"/>
    <w:rsid w:val="008918B3"/>
    <w:rsid w:val="00896B47"/>
    <w:rsid w:val="008A5DD2"/>
    <w:rsid w:val="008B19A9"/>
    <w:rsid w:val="008B433C"/>
    <w:rsid w:val="008B7780"/>
    <w:rsid w:val="008C07D1"/>
    <w:rsid w:val="008C174D"/>
    <w:rsid w:val="008C3C51"/>
    <w:rsid w:val="008C45E6"/>
    <w:rsid w:val="008D6E0C"/>
    <w:rsid w:val="008E256C"/>
    <w:rsid w:val="008E540D"/>
    <w:rsid w:val="008E60AC"/>
    <w:rsid w:val="008F1519"/>
    <w:rsid w:val="009113C0"/>
    <w:rsid w:val="00913689"/>
    <w:rsid w:val="009269E7"/>
    <w:rsid w:val="0092707E"/>
    <w:rsid w:val="0093086F"/>
    <w:rsid w:val="00930A33"/>
    <w:rsid w:val="00937502"/>
    <w:rsid w:val="00953BE8"/>
    <w:rsid w:val="00955E40"/>
    <w:rsid w:val="00965AF6"/>
    <w:rsid w:val="0097667D"/>
    <w:rsid w:val="00984D42"/>
    <w:rsid w:val="009A3737"/>
    <w:rsid w:val="009A5F1A"/>
    <w:rsid w:val="009B08EF"/>
    <w:rsid w:val="009B4387"/>
    <w:rsid w:val="009B4EA0"/>
    <w:rsid w:val="009D2C3A"/>
    <w:rsid w:val="009D5760"/>
    <w:rsid w:val="009F01F4"/>
    <w:rsid w:val="009F49E7"/>
    <w:rsid w:val="00A10069"/>
    <w:rsid w:val="00A2009F"/>
    <w:rsid w:val="00A24D70"/>
    <w:rsid w:val="00A2770C"/>
    <w:rsid w:val="00A409A3"/>
    <w:rsid w:val="00A461C1"/>
    <w:rsid w:val="00A47278"/>
    <w:rsid w:val="00A57F6D"/>
    <w:rsid w:val="00A60A15"/>
    <w:rsid w:val="00A60C48"/>
    <w:rsid w:val="00A61F96"/>
    <w:rsid w:val="00A65A2E"/>
    <w:rsid w:val="00A66ED0"/>
    <w:rsid w:val="00A67400"/>
    <w:rsid w:val="00A76372"/>
    <w:rsid w:val="00A84E79"/>
    <w:rsid w:val="00A90071"/>
    <w:rsid w:val="00AA43C1"/>
    <w:rsid w:val="00AA5D13"/>
    <w:rsid w:val="00AA7674"/>
    <w:rsid w:val="00AB179F"/>
    <w:rsid w:val="00AB28CD"/>
    <w:rsid w:val="00AC78D9"/>
    <w:rsid w:val="00AD71BA"/>
    <w:rsid w:val="00AE3987"/>
    <w:rsid w:val="00AE77E9"/>
    <w:rsid w:val="00AF77A0"/>
    <w:rsid w:val="00B02E1F"/>
    <w:rsid w:val="00B10E81"/>
    <w:rsid w:val="00B165D8"/>
    <w:rsid w:val="00B205C6"/>
    <w:rsid w:val="00B24DD4"/>
    <w:rsid w:val="00B26AB8"/>
    <w:rsid w:val="00B30159"/>
    <w:rsid w:val="00B377EE"/>
    <w:rsid w:val="00B43FE9"/>
    <w:rsid w:val="00B50FAB"/>
    <w:rsid w:val="00B510AD"/>
    <w:rsid w:val="00B66381"/>
    <w:rsid w:val="00B777DD"/>
    <w:rsid w:val="00B83105"/>
    <w:rsid w:val="00B90B43"/>
    <w:rsid w:val="00B90E9C"/>
    <w:rsid w:val="00B93F02"/>
    <w:rsid w:val="00BA14A8"/>
    <w:rsid w:val="00BA2D9B"/>
    <w:rsid w:val="00BA34AE"/>
    <w:rsid w:val="00BA451E"/>
    <w:rsid w:val="00BA5BF7"/>
    <w:rsid w:val="00BB176A"/>
    <w:rsid w:val="00BB1EA1"/>
    <w:rsid w:val="00BB2282"/>
    <w:rsid w:val="00BB3C01"/>
    <w:rsid w:val="00BB7600"/>
    <w:rsid w:val="00BC7DAB"/>
    <w:rsid w:val="00BF00BC"/>
    <w:rsid w:val="00BF5C2C"/>
    <w:rsid w:val="00BF7FB4"/>
    <w:rsid w:val="00C14816"/>
    <w:rsid w:val="00C1765A"/>
    <w:rsid w:val="00C338B2"/>
    <w:rsid w:val="00C34919"/>
    <w:rsid w:val="00C44C16"/>
    <w:rsid w:val="00C471A6"/>
    <w:rsid w:val="00C512A9"/>
    <w:rsid w:val="00C527DC"/>
    <w:rsid w:val="00C54A1D"/>
    <w:rsid w:val="00C73AF1"/>
    <w:rsid w:val="00C758D3"/>
    <w:rsid w:val="00C7654F"/>
    <w:rsid w:val="00C86FA7"/>
    <w:rsid w:val="00C95CE3"/>
    <w:rsid w:val="00C9751E"/>
    <w:rsid w:val="00CA2F26"/>
    <w:rsid w:val="00CD1149"/>
    <w:rsid w:val="00CD41B1"/>
    <w:rsid w:val="00CE43A2"/>
    <w:rsid w:val="00CE4D31"/>
    <w:rsid w:val="00CE6CEF"/>
    <w:rsid w:val="00CF0213"/>
    <w:rsid w:val="00CF0437"/>
    <w:rsid w:val="00D0739F"/>
    <w:rsid w:val="00D1074D"/>
    <w:rsid w:val="00D17099"/>
    <w:rsid w:val="00D1713C"/>
    <w:rsid w:val="00D22781"/>
    <w:rsid w:val="00D2679E"/>
    <w:rsid w:val="00D27C76"/>
    <w:rsid w:val="00D332C4"/>
    <w:rsid w:val="00D45B92"/>
    <w:rsid w:val="00D46143"/>
    <w:rsid w:val="00D46F17"/>
    <w:rsid w:val="00D51DAB"/>
    <w:rsid w:val="00D51F95"/>
    <w:rsid w:val="00D65839"/>
    <w:rsid w:val="00D668BF"/>
    <w:rsid w:val="00DA59DD"/>
    <w:rsid w:val="00DB27CE"/>
    <w:rsid w:val="00DC158E"/>
    <w:rsid w:val="00DC5406"/>
    <w:rsid w:val="00DE1FD0"/>
    <w:rsid w:val="00DE4249"/>
    <w:rsid w:val="00DE4A40"/>
    <w:rsid w:val="00DF4CDE"/>
    <w:rsid w:val="00E154ED"/>
    <w:rsid w:val="00E2390B"/>
    <w:rsid w:val="00E265C3"/>
    <w:rsid w:val="00E26783"/>
    <w:rsid w:val="00E30E7A"/>
    <w:rsid w:val="00E42C8C"/>
    <w:rsid w:val="00E518C9"/>
    <w:rsid w:val="00E56C30"/>
    <w:rsid w:val="00E64924"/>
    <w:rsid w:val="00E712D1"/>
    <w:rsid w:val="00E72CCE"/>
    <w:rsid w:val="00E75166"/>
    <w:rsid w:val="00E86F9B"/>
    <w:rsid w:val="00E9025B"/>
    <w:rsid w:val="00E9381C"/>
    <w:rsid w:val="00E9615C"/>
    <w:rsid w:val="00E97D14"/>
    <w:rsid w:val="00EA5176"/>
    <w:rsid w:val="00EB3561"/>
    <w:rsid w:val="00EB49BE"/>
    <w:rsid w:val="00EC3E8D"/>
    <w:rsid w:val="00EE513E"/>
    <w:rsid w:val="00EE5715"/>
    <w:rsid w:val="00EF4E9D"/>
    <w:rsid w:val="00F00307"/>
    <w:rsid w:val="00F021D5"/>
    <w:rsid w:val="00F04818"/>
    <w:rsid w:val="00F0517E"/>
    <w:rsid w:val="00F25C4F"/>
    <w:rsid w:val="00F302B3"/>
    <w:rsid w:val="00F31B26"/>
    <w:rsid w:val="00F4303B"/>
    <w:rsid w:val="00F5603C"/>
    <w:rsid w:val="00F66385"/>
    <w:rsid w:val="00F730B7"/>
    <w:rsid w:val="00F8232B"/>
    <w:rsid w:val="00F8664B"/>
    <w:rsid w:val="00F867DC"/>
    <w:rsid w:val="00F91A19"/>
    <w:rsid w:val="00F94314"/>
    <w:rsid w:val="00FA0B1F"/>
    <w:rsid w:val="00FA64C5"/>
    <w:rsid w:val="00FC56DA"/>
    <w:rsid w:val="00FC5F93"/>
    <w:rsid w:val="00FD1B35"/>
    <w:rsid w:val="00FD28BA"/>
    <w:rsid w:val="00FD2BF3"/>
    <w:rsid w:val="00FD32F7"/>
    <w:rsid w:val="00FE6E2D"/>
    <w:rsid w:val="00FE7806"/>
    <w:rsid w:val="00FF4C3F"/>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B433C"/>
    <w:pPr>
      <w:keepNext/>
      <w:widowControl w:val="0"/>
      <w:numPr>
        <w:numId w:val="1"/>
      </w:numPr>
      <w:autoSpaceDE w:val="0"/>
      <w:autoSpaceDN w:val="0"/>
      <w:adjustRightInd w:val="0"/>
      <w:spacing w:after="480"/>
      <w:outlineLvl w:val="0"/>
    </w:pPr>
    <w:rPr>
      <w:rFonts w:cs="Arial"/>
      <w:b/>
      <w:bCs/>
      <w:caps/>
      <w:kern w:val="32"/>
    </w:rPr>
  </w:style>
  <w:style w:type="paragraph" w:styleId="Heading2">
    <w:name w:val="heading 2"/>
    <w:basedOn w:val="Normal"/>
    <w:next w:val="Normal"/>
    <w:qFormat/>
    <w:rsid w:val="008B433C"/>
    <w:pPr>
      <w:keepNext/>
      <w:widowControl w:val="0"/>
      <w:numPr>
        <w:ilvl w:val="1"/>
        <w:numId w:val="1"/>
      </w:numPr>
      <w:autoSpaceDE w:val="0"/>
      <w:autoSpaceDN w:val="0"/>
      <w:adjustRightInd w:val="0"/>
      <w:spacing w:after="24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53BE8"/>
    <w:rPr>
      <w:sz w:val="16"/>
      <w:szCs w:val="16"/>
    </w:rPr>
  </w:style>
  <w:style w:type="paragraph" w:styleId="CommentText">
    <w:name w:val="annotation text"/>
    <w:basedOn w:val="Normal"/>
    <w:semiHidden/>
    <w:rsid w:val="00953BE8"/>
    <w:rPr>
      <w:sz w:val="20"/>
      <w:szCs w:val="20"/>
    </w:rPr>
  </w:style>
  <w:style w:type="paragraph" w:styleId="CommentSubject">
    <w:name w:val="annotation subject"/>
    <w:basedOn w:val="CommentText"/>
    <w:next w:val="CommentText"/>
    <w:semiHidden/>
    <w:rsid w:val="00953BE8"/>
    <w:rPr>
      <w:b/>
      <w:bCs/>
    </w:rPr>
  </w:style>
  <w:style w:type="paragraph" w:styleId="BalloonText">
    <w:name w:val="Balloon Text"/>
    <w:basedOn w:val="Normal"/>
    <w:semiHidden/>
    <w:rsid w:val="00953BE8"/>
    <w:rPr>
      <w:rFonts w:ascii="Tahoma" w:hAnsi="Tahoma" w:cs="Tahoma"/>
      <w:sz w:val="16"/>
      <w:szCs w:val="16"/>
    </w:rPr>
  </w:style>
  <w:style w:type="paragraph" w:styleId="BodyText">
    <w:name w:val="Body Text"/>
    <w:basedOn w:val="Normal"/>
    <w:rsid w:val="008B433C"/>
    <w:pPr>
      <w:widowControl w:val="0"/>
      <w:numPr>
        <w:ilvl w:val="2"/>
        <w:numId w:val="1"/>
      </w:numPr>
      <w:autoSpaceDE w:val="0"/>
      <w:autoSpaceDN w:val="0"/>
      <w:adjustRightInd w:val="0"/>
      <w:spacing w:after="240"/>
    </w:pPr>
  </w:style>
  <w:style w:type="character" w:customStyle="1" w:styleId="EmailStyle20">
    <w:name w:val="EmailStyle20"/>
    <w:semiHidden/>
    <w:rsid w:val="00BC7DAB"/>
    <w:rPr>
      <w:rFonts w:ascii="Arial" w:hAnsi="Arial" w:cs="Arial"/>
      <w:color w:val="auto"/>
      <w:sz w:val="20"/>
      <w:szCs w:val="20"/>
    </w:rPr>
  </w:style>
  <w:style w:type="table" w:styleId="TableGrid">
    <w:name w:val="Table Grid"/>
    <w:basedOn w:val="TableNormal"/>
    <w:uiPriority w:val="59"/>
    <w:rsid w:val="00FD1B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B433C"/>
    <w:pPr>
      <w:keepNext/>
      <w:widowControl w:val="0"/>
      <w:numPr>
        <w:numId w:val="1"/>
      </w:numPr>
      <w:autoSpaceDE w:val="0"/>
      <w:autoSpaceDN w:val="0"/>
      <w:adjustRightInd w:val="0"/>
      <w:spacing w:after="480"/>
      <w:outlineLvl w:val="0"/>
    </w:pPr>
    <w:rPr>
      <w:rFonts w:cs="Arial"/>
      <w:b/>
      <w:bCs/>
      <w:caps/>
      <w:kern w:val="32"/>
    </w:rPr>
  </w:style>
  <w:style w:type="paragraph" w:styleId="Heading2">
    <w:name w:val="heading 2"/>
    <w:basedOn w:val="Normal"/>
    <w:next w:val="Normal"/>
    <w:qFormat/>
    <w:rsid w:val="008B433C"/>
    <w:pPr>
      <w:keepNext/>
      <w:widowControl w:val="0"/>
      <w:numPr>
        <w:ilvl w:val="1"/>
        <w:numId w:val="1"/>
      </w:numPr>
      <w:autoSpaceDE w:val="0"/>
      <w:autoSpaceDN w:val="0"/>
      <w:adjustRightInd w:val="0"/>
      <w:spacing w:after="24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53BE8"/>
    <w:rPr>
      <w:sz w:val="16"/>
      <w:szCs w:val="16"/>
    </w:rPr>
  </w:style>
  <w:style w:type="paragraph" w:styleId="CommentText">
    <w:name w:val="annotation text"/>
    <w:basedOn w:val="Normal"/>
    <w:semiHidden/>
    <w:rsid w:val="00953BE8"/>
    <w:rPr>
      <w:sz w:val="20"/>
      <w:szCs w:val="20"/>
    </w:rPr>
  </w:style>
  <w:style w:type="paragraph" w:styleId="CommentSubject">
    <w:name w:val="annotation subject"/>
    <w:basedOn w:val="CommentText"/>
    <w:next w:val="CommentText"/>
    <w:semiHidden/>
    <w:rsid w:val="00953BE8"/>
    <w:rPr>
      <w:b/>
      <w:bCs/>
    </w:rPr>
  </w:style>
  <w:style w:type="paragraph" w:styleId="BalloonText">
    <w:name w:val="Balloon Text"/>
    <w:basedOn w:val="Normal"/>
    <w:semiHidden/>
    <w:rsid w:val="00953BE8"/>
    <w:rPr>
      <w:rFonts w:ascii="Tahoma" w:hAnsi="Tahoma" w:cs="Tahoma"/>
      <w:sz w:val="16"/>
      <w:szCs w:val="16"/>
    </w:rPr>
  </w:style>
  <w:style w:type="paragraph" w:styleId="BodyText">
    <w:name w:val="Body Text"/>
    <w:basedOn w:val="Normal"/>
    <w:rsid w:val="008B433C"/>
    <w:pPr>
      <w:widowControl w:val="0"/>
      <w:numPr>
        <w:ilvl w:val="2"/>
        <w:numId w:val="1"/>
      </w:numPr>
      <w:autoSpaceDE w:val="0"/>
      <w:autoSpaceDN w:val="0"/>
      <w:adjustRightInd w:val="0"/>
      <w:spacing w:after="240"/>
    </w:pPr>
  </w:style>
  <w:style w:type="character" w:customStyle="1" w:styleId="EmailStyle20">
    <w:name w:val="EmailStyle20"/>
    <w:semiHidden/>
    <w:rsid w:val="00BC7DAB"/>
    <w:rPr>
      <w:rFonts w:ascii="Arial" w:hAnsi="Arial" w:cs="Arial"/>
      <w:color w:val="auto"/>
      <w:sz w:val="20"/>
      <w:szCs w:val="20"/>
    </w:rPr>
  </w:style>
  <w:style w:type="table" w:styleId="TableGrid">
    <w:name w:val="Table Grid"/>
    <w:basedOn w:val="TableNormal"/>
    <w:uiPriority w:val="59"/>
    <w:rsid w:val="00FD1B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3583">
      <w:bodyDiv w:val="1"/>
      <w:marLeft w:val="0"/>
      <w:marRight w:val="0"/>
      <w:marTop w:val="0"/>
      <w:marBottom w:val="0"/>
      <w:divBdr>
        <w:top w:val="none" w:sz="0" w:space="0" w:color="auto"/>
        <w:left w:val="none" w:sz="0" w:space="0" w:color="auto"/>
        <w:bottom w:val="none" w:sz="0" w:space="0" w:color="auto"/>
        <w:right w:val="none" w:sz="0" w:space="0" w:color="auto"/>
      </w:divBdr>
    </w:div>
    <w:div w:id="60251161">
      <w:bodyDiv w:val="1"/>
      <w:marLeft w:val="0"/>
      <w:marRight w:val="0"/>
      <w:marTop w:val="0"/>
      <w:marBottom w:val="0"/>
      <w:divBdr>
        <w:top w:val="none" w:sz="0" w:space="0" w:color="auto"/>
        <w:left w:val="none" w:sz="0" w:space="0" w:color="auto"/>
        <w:bottom w:val="none" w:sz="0" w:space="0" w:color="auto"/>
        <w:right w:val="none" w:sz="0" w:space="0" w:color="auto"/>
      </w:divBdr>
    </w:div>
    <w:div w:id="303774773">
      <w:bodyDiv w:val="1"/>
      <w:marLeft w:val="0"/>
      <w:marRight w:val="0"/>
      <w:marTop w:val="0"/>
      <w:marBottom w:val="0"/>
      <w:divBdr>
        <w:top w:val="none" w:sz="0" w:space="0" w:color="auto"/>
        <w:left w:val="none" w:sz="0" w:space="0" w:color="auto"/>
        <w:bottom w:val="none" w:sz="0" w:space="0" w:color="auto"/>
        <w:right w:val="none" w:sz="0" w:space="0" w:color="auto"/>
      </w:divBdr>
    </w:div>
    <w:div w:id="1843885413">
      <w:bodyDiv w:val="1"/>
      <w:marLeft w:val="0"/>
      <w:marRight w:val="0"/>
      <w:marTop w:val="0"/>
      <w:marBottom w:val="0"/>
      <w:divBdr>
        <w:top w:val="none" w:sz="0" w:space="0" w:color="auto"/>
        <w:left w:val="none" w:sz="0" w:space="0" w:color="auto"/>
        <w:bottom w:val="none" w:sz="0" w:space="0" w:color="auto"/>
        <w:right w:val="none" w:sz="0" w:space="0" w:color="auto"/>
      </w:divBdr>
    </w:div>
    <w:div w:id="20141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8</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MCWMS MAHL Allocation Tracking</vt:lpstr>
    </vt:vector>
  </TitlesOfParts>
  <Company>MCWMS</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MCWMS MAHL Allocation Tracking</dc:title>
  <dc:creator>Dave Johnson</dc:creator>
  <cp:lastModifiedBy>Imbault, Eric</cp:lastModifiedBy>
  <cp:revision>13</cp:revision>
  <cp:lastPrinted>2016-01-05T19:59:00Z</cp:lastPrinted>
  <dcterms:created xsi:type="dcterms:W3CDTF">2015-11-20T14:20:00Z</dcterms:created>
  <dcterms:modified xsi:type="dcterms:W3CDTF">2016-03-31T18:20:00Z</dcterms:modified>
</cp:coreProperties>
</file>